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2268"/>
        <w:gridCol w:w="3260"/>
        <w:gridCol w:w="2835"/>
      </w:tblGrid>
      <w:tr w:rsidR="00C9007B" w:rsidRPr="00212EA8" w14:paraId="3FFDBA9A" w14:textId="77777777" w:rsidTr="005E08DF">
        <w:trPr>
          <w:cantSplit/>
          <w:trHeight w:hRule="exact" w:val="851"/>
        </w:trPr>
        <w:tc>
          <w:tcPr>
            <w:tcW w:w="1276" w:type="dxa"/>
            <w:tcBorders>
              <w:bottom w:val="single" w:sz="4" w:space="0" w:color="auto"/>
            </w:tcBorders>
            <w:vAlign w:val="bottom"/>
          </w:tcPr>
          <w:p w14:paraId="2AC874EA" w14:textId="6073D58A" w:rsidR="00C9007B" w:rsidRPr="00212EA8" w:rsidRDefault="00C9007B" w:rsidP="005E08DF">
            <w:pPr>
              <w:spacing w:after="80"/>
            </w:pPr>
          </w:p>
        </w:tc>
        <w:tc>
          <w:tcPr>
            <w:tcW w:w="2268" w:type="dxa"/>
            <w:tcBorders>
              <w:bottom w:val="single" w:sz="4" w:space="0" w:color="auto"/>
            </w:tcBorders>
            <w:vAlign w:val="bottom"/>
          </w:tcPr>
          <w:p w14:paraId="6739FCC9" w14:textId="77777777" w:rsidR="00C9007B" w:rsidRPr="00212EA8" w:rsidRDefault="00C9007B" w:rsidP="005E08DF">
            <w:pPr>
              <w:spacing w:after="80" w:line="300" w:lineRule="exact"/>
              <w:rPr>
                <w:b/>
                <w:sz w:val="24"/>
                <w:szCs w:val="24"/>
              </w:rPr>
            </w:pPr>
            <w:r w:rsidRPr="00212EA8">
              <w:rPr>
                <w:sz w:val="28"/>
                <w:szCs w:val="28"/>
              </w:rPr>
              <w:t>Vereinte Nationen</w:t>
            </w:r>
          </w:p>
        </w:tc>
        <w:tc>
          <w:tcPr>
            <w:tcW w:w="6095" w:type="dxa"/>
            <w:gridSpan w:val="2"/>
            <w:tcBorders>
              <w:bottom w:val="single" w:sz="4" w:space="0" w:color="auto"/>
            </w:tcBorders>
            <w:vAlign w:val="bottom"/>
          </w:tcPr>
          <w:p w14:paraId="36A3ABAC" w14:textId="77777777" w:rsidR="00C9007B" w:rsidRPr="00212EA8" w:rsidRDefault="004610AF" w:rsidP="004610AF">
            <w:pPr>
              <w:suppressAutoHyphens w:val="0"/>
              <w:spacing w:after="20"/>
              <w:jc w:val="right"/>
            </w:pPr>
            <w:r w:rsidRPr="00212EA8">
              <w:rPr>
                <w:sz w:val="40"/>
              </w:rPr>
              <w:t>BRK/</w:t>
            </w:r>
            <w:r w:rsidRPr="00212EA8">
              <w:t>C/DEU/CO/2-3</w:t>
            </w:r>
          </w:p>
        </w:tc>
      </w:tr>
      <w:tr w:rsidR="00C9007B" w:rsidRPr="00212EA8" w14:paraId="580C925C" w14:textId="77777777" w:rsidTr="005E08DF">
        <w:trPr>
          <w:cantSplit/>
          <w:trHeight w:hRule="exact" w:val="2835"/>
        </w:trPr>
        <w:tc>
          <w:tcPr>
            <w:tcW w:w="1276" w:type="dxa"/>
            <w:tcBorders>
              <w:top w:val="single" w:sz="4" w:space="0" w:color="auto"/>
              <w:bottom w:val="single" w:sz="12" w:space="0" w:color="auto"/>
            </w:tcBorders>
          </w:tcPr>
          <w:p w14:paraId="03EC8CFA" w14:textId="77777777" w:rsidR="00C9007B" w:rsidRPr="00212EA8" w:rsidRDefault="00C9007B" w:rsidP="005E08DF">
            <w:pPr>
              <w:spacing w:before="120"/>
              <w:jc w:val="center"/>
            </w:pPr>
            <w:r w:rsidRPr="00212EA8">
              <w:rPr>
                <w:noProof/>
                <w:lang w:eastAsia="fr-CH"/>
              </w:rPr>
              <w:drawing>
                <wp:inline distT="0" distB="0" distL="0" distR="0" wp14:anchorId="3D707F9C" wp14:editId="1FDC4CF4">
                  <wp:extent cx="714375" cy="590550"/>
                  <wp:effectExtent l="0" t="0" r="9525" b="0"/>
                  <wp:docPr id="1" name="Picture 1" descr="Logo der Vereinten N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4E8FCEF" w14:textId="77777777" w:rsidR="00C9007B" w:rsidRPr="00212EA8" w:rsidRDefault="00C9007B" w:rsidP="005E08DF">
            <w:pPr>
              <w:spacing w:before="120" w:line="380" w:lineRule="exact"/>
              <w:rPr>
                <w:b/>
                <w:sz w:val="34"/>
                <w:szCs w:val="40"/>
              </w:rPr>
            </w:pPr>
            <w:r w:rsidRPr="00212EA8">
              <w:rPr>
                <w:b/>
                <w:sz w:val="34"/>
                <w:szCs w:val="40"/>
              </w:rPr>
              <w:t>Übereinkommen über die Rechte von Menschen mit Behinderungen</w:t>
            </w:r>
          </w:p>
          <w:p w14:paraId="193C1373" w14:textId="77777777" w:rsidR="00C9007B" w:rsidRPr="00212EA8" w:rsidRDefault="00C9007B" w:rsidP="005E08DF">
            <w:pPr>
              <w:spacing w:before="120" w:line="420" w:lineRule="exact"/>
            </w:pPr>
          </w:p>
        </w:tc>
        <w:tc>
          <w:tcPr>
            <w:tcW w:w="2835" w:type="dxa"/>
            <w:tcBorders>
              <w:top w:val="single" w:sz="4" w:space="0" w:color="auto"/>
              <w:bottom w:val="single" w:sz="12" w:space="0" w:color="auto"/>
            </w:tcBorders>
          </w:tcPr>
          <w:p w14:paraId="719803C8" w14:textId="77777777" w:rsidR="004610AF" w:rsidRPr="00212EA8" w:rsidRDefault="004610AF" w:rsidP="004610AF">
            <w:pPr>
              <w:suppressAutoHyphens w:val="0"/>
              <w:spacing w:before="240" w:line="240" w:lineRule="exact"/>
              <w:rPr>
                <w:rFonts w:eastAsia="Times New Roman"/>
              </w:rPr>
            </w:pPr>
            <w:r w:rsidRPr="00212EA8">
              <w:rPr>
                <w:rFonts w:eastAsia="Times New Roman"/>
              </w:rPr>
              <w:t>Bezirk: Allgemein</w:t>
            </w:r>
          </w:p>
          <w:p w14:paraId="6FD60CDC" w14:textId="17F081B8" w:rsidR="004610AF" w:rsidRPr="00212EA8" w:rsidRDefault="00CF4C5C" w:rsidP="004610AF">
            <w:pPr>
              <w:suppressAutoHyphens w:val="0"/>
              <w:rPr>
                <w:rFonts w:eastAsia="Times New Roman"/>
              </w:rPr>
            </w:pPr>
            <w:r>
              <w:rPr>
                <w:rFonts w:eastAsia="Times New Roman"/>
              </w:rPr>
              <w:t>3. Oktober 2023</w:t>
            </w:r>
          </w:p>
          <w:p w14:paraId="01B841D9" w14:textId="77777777" w:rsidR="004610AF" w:rsidRPr="00212EA8" w:rsidRDefault="004610AF" w:rsidP="004610AF">
            <w:pPr>
              <w:suppressAutoHyphens w:val="0"/>
              <w:rPr>
                <w:rFonts w:eastAsia="Times New Roman"/>
              </w:rPr>
            </w:pPr>
          </w:p>
          <w:p w14:paraId="636FEE0F" w14:textId="222C1BD2" w:rsidR="004610AF" w:rsidRPr="00212EA8" w:rsidRDefault="004610AF" w:rsidP="004610AF">
            <w:pPr>
              <w:suppressAutoHyphens w:val="0"/>
            </w:pPr>
            <w:r w:rsidRPr="00212EA8">
              <w:rPr>
                <w:rFonts w:eastAsia="Times New Roman"/>
              </w:rPr>
              <w:t>Original: Englisch</w:t>
            </w:r>
          </w:p>
        </w:tc>
      </w:tr>
    </w:tbl>
    <w:p w14:paraId="1FA65883" w14:textId="77777777" w:rsidR="00296E8D" w:rsidRPr="00212EA8" w:rsidRDefault="00296E8D" w:rsidP="00296E8D">
      <w:pPr>
        <w:spacing w:before="120"/>
        <w:rPr>
          <w:b/>
          <w:sz w:val="24"/>
          <w:szCs w:val="24"/>
          <w:lang w:eastAsia="en-GB"/>
        </w:rPr>
      </w:pPr>
      <w:r w:rsidRPr="00212EA8">
        <w:rPr>
          <w:b/>
          <w:sz w:val="24"/>
          <w:szCs w:val="24"/>
          <w:lang w:eastAsia="en-GB"/>
        </w:rPr>
        <w:t>Ausschuss für die Rechte von Menschen mit Behinderungen</w:t>
      </w:r>
    </w:p>
    <w:p w14:paraId="4B9E5828" w14:textId="77777777" w:rsidR="00296E8D" w:rsidRPr="00212EA8" w:rsidRDefault="00296E8D" w:rsidP="00296E8D">
      <w:pPr>
        <w:pStyle w:val="HChG"/>
        <w:rPr>
          <w:sz w:val="24"/>
          <w:szCs w:val="24"/>
        </w:rPr>
      </w:pPr>
      <w:r w:rsidRPr="00212EA8">
        <w:tab/>
      </w:r>
      <w:r w:rsidRPr="00212EA8">
        <w:tab/>
      </w:r>
      <w:r w:rsidRPr="00212EA8">
        <w:tab/>
        <w:t>Abschließende Bemerkungen zum kombinierten zweiten und dritten periodischen Bericht Deutschlands</w:t>
      </w:r>
      <w:r w:rsidRPr="00C0580E">
        <w:rPr>
          <w:rStyle w:val="Funotenzeichen"/>
          <w:b w:val="0"/>
          <w:bCs/>
          <w:sz w:val="20"/>
          <w:vertAlign w:val="baseline"/>
        </w:rPr>
        <w:footnoteReference w:customMarkFollows="1" w:id="1"/>
        <w:t>*</w:t>
      </w:r>
    </w:p>
    <w:p w14:paraId="14A8C3B6" w14:textId="77777777" w:rsidR="00296E8D" w:rsidRPr="00212EA8" w:rsidRDefault="00296E8D" w:rsidP="00296E8D">
      <w:pPr>
        <w:pStyle w:val="HChG"/>
      </w:pPr>
      <w:r w:rsidRPr="00212EA8">
        <w:tab/>
        <w:t>Ich.</w:t>
      </w:r>
      <w:r w:rsidRPr="00212EA8">
        <w:tab/>
        <w:t>Einleitung</w:t>
      </w:r>
    </w:p>
    <w:p w14:paraId="2968D40B" w14:textId="77777777" w:rsidR="00296E8D" w:rsidRPr="00212EA8" w:rsidRDefault="00296E8D" w:rsidP="00296E8D">
      <w:pPr>
        <w:pStyle w:val="SingleTxtG"/>
      </w:pPr>
      <w:r w:rsidRPr="00212EA8">
        <w:t>1.</w:t>
      </w:r>
      <w:r w:rsidRPr="00212EA8">
        <w:tab/>
        <w:t>Der Ausschuß prüfte den kombinierten zweiten und dritten periodischen Bericht Deutschlands</w:t>
      </w:r>
      <w:r w:rsidRPr="00F972B6">
        <w:rPr>
          <w:rStyle w:val="Funotenzeichen"/>
        </w:rPr>
        <w:footnoteReference w:id="2"/>
      </w:r>
      <w:r w:rsidRPr="00212EA8">
        <w:rPr>
          <w:rStyle w:val="Funotenzeichen"/>
        </w:rPr>
        <w:t xml:space="preserve"> </w:t>
      </w:r>
      <w:r w:rsidRPr="00212EA8">
        <w:t>auf seiner 674. und 675. Sitzung,</w:t>
      </w:r>
      <w:bookmarkStart w:id="0" w:name="_Hlk142488082"/>
      <w:bookmarkEnd w:id="0"/>
      <w:r w:rsidRPr="00F972B6">
        <w:rPr>
          <w:rStyle w:val="Funotenzeichen"/>
        </w:rPr>
        <w:footnoteReference w:id="3"/>
      </w:r>
      <w:r w:rsidRPr="00212EA8">
        <w:rPr>
          <w:rStyle w:val="Funotenzeichen"/>
        </w:rPr>
        <w:t xml:space="preserve"> </w:t>
      </w:r>
      <w:r w:rsidRPr="00212EA8">
        <w:t xml:space="preserve">am 29. und 30. August 2023. Er nahm die vorliegenden abschließenden Bemerkungen auf seiner 684. und 685. Sitzung am 5. und 6. September 2023 an. </w:t>
      </w:r>
    </w:p>
    <w:p w14:paraId="359B62F1" w14:textId="77777777" w:rsidR="00296E8D" w:rsidRPr="00212EA8" w:rsidRDefault="00296E8D" w:rsidP="00296E8D">
      <w:pPr>
        <w:pStyle w:val="SingleTxtG"/>
      </w:pPr>
      <w:r w:rsidRPr="00212EA8">
        <w:t>2.</w:t>
      </w:r>
      <w:r w:rsidRPr="00212EA8">
        <w:tab/>
        <w:t>Der Ausschuss begrüßt den kombinierten zweiten und dritten periodischen Bericht Deutschlands, die in Übereinstimmung mit den Leitlinien des Ausschusses für die Berichterstattung als Reaktion darauf erstellt wurden. auf die vom Ausschuss erstellte Liste der Probleme vor der Berichterstattung.</w:t>
      </w:r>
      <w:r w:rsidRPr="00F972B6">
        <w:rPr>
          <w:rStyle w:val="Funotenzeichen"/>
        </w:rPr>
        <w:footnoteReference w:id="4"/>
      </w:r>
      <w:r w:rsidRPr="00212EA8">
        <w:rPr>
          <w:rStyle w:val="Funotenzeichen"/>
        </w:rPr>
        <w:t xml:space="preserve"> </w:t>
      </w:r>
    </w:p>
    <w:p w14:paraId="252F9331" w14:textId="77777777" w:rsidR="00296E8D" w:rsidRPr="00212EA8" w:rsidRDefault="00296E8D" w:rsidP="00296E8D">
      <w:pPr>
        <w:pStyle w:val="SingleTxtG"/>
      </w:pPr>
      <w:r w:rsidRPr="00212EA8">
        <w:t>3.</w:t>
      </w:r>
      <w:r w:rsidRPr="00212EA8">
        <w:tab/>
        <w:t xml:space="preserve">Der Ausschuss bedankt sich für den konstruktiven Dialog mit der hochrangigen Delegation des Vertragsstaates, der ein breites Spektrum von Themen abdeckte und an dem Vertreter der zuständigen Ministerien teilnahmen, die weitere Erläuterungen zu den vom Ausschuss gestellten Fragen gaben. Der Ausschuss dankt auch für die aktive Mitwirkung des Deutschen Instituts für Menschenrechte in seiner Eigenschaft als nationale Menschenrechtsinstitution und unabhängiger Überwachungsmechanismus gemäß Artikel 33 Absatz 2 der Konvention. </w:t>
      </w:r>
    </w:p>
    <w:p w14:paraId="2D2E77E6" w14:textId="2AB9EDE2" w:rsidR="00296E8D" w:rsidRPr="00212EA8" w:rsidRDefault="00296E8D" w:rsidP="00296E8D">
      <w:pPr>
        <w:pStyle w:val="HChG"/>
      </w:pPr>
      <w:r w:rsidRPr="00212EA8">
        <w:tab/>
        <w:t>II.</w:t>
      </w:r>
      <w:r w:rsidRPr="00212EA8">
        <w:tab/>
        <w:t>Positive Aspekte</w:t>
      </w:r>
    </w:p>
    <w:p w14:paraId="6ABA75C3" w14:textId="77777777" w:rsidR="00296E8D" w:rsidRPr="00212EA8" w:rsidRDefault="00296E8D" w:rsidP="00296E8D">
      <w:pPr>
        <w:pStyle w:val="SingleTxtG"/>
      </w:pPr>
      <w:r w:rsidRPr="00212EA8">
        <w:t>4.</w:t>
      </w:r>
      <w:r w:rsidRPr="00212EA8">
        <w:tab/>
        <w:t>Der Ausschuss begrüßt die Maßnahmen, die der Vertragsstaat zur Durchführung des Übereinkommens im Anschluss an die Empfehlungen des Ausschusses in seinen abschließenden Bemerkungen zum ursprünglichen Bericht des Vertragsstaats ergriffen hat.</w:t>
      </w:r>
      <w:r w:rsidRPr="00F972B6">
        <w:rPr>
          <w:rStyle w:val="Funotenzeichen"/>
        </w:rPr>
        <w:footnoteReference w:id="5"/>
      </w:r>
      <w:r w:rsidRPr="00212EA8">
        <w:t xml:space="preserve"> Er begrüßt insbesondere die legislativen und politischen Maßnahmen, die zur Förderung der Rechte von Menschen mit Behinderungen ergriffen wurden, darunter:</w:t>
      </w:r>
    </w:p>
    <w:p w14:paraId="0E44B76C" w14:textId="77777777" w:rsidR="00296E8D" w:rsidRPr="00212EA8" w:rsidRDefault="00296E8D" w:rsidP="00296E8D">
      <w:pPr>
        <w:pStyle w:val="SingleTxtG"/>
      </w:pPr>
      <w:r w:rsidRPr="00212EA8">
        <w:tab/>
        <w:t>(a)</w:t>
      </w:r>
      <w:r w:rsidRPr="00212EA8">
        <w:tab/>
        <w:t>Der Start der Bundesinitiative Barrierefreiheit 2022;</w:t>
      </w:r>
    </w:p>
    <w:p w14:paraId="7D3D6E31" w14:textId="77777777" w:rsidR="00296E8D" w:rsidRPr="00212EA8" w:rsidRDefault="00296E8D" w:rsidP="00296E8D">
      <w:pPr>
        <w:pStyle w:val="SingleTxtG"/>
      </w:pPr>
      <w:r w:rsidRPr="00212EA8">
        <w:tab/>
        <w:t>b)</w:t>
      </w:r>
      <w:r w:rsidRPr="00212EA8">
        <w:tab/>
        <w:t xml:space="preserve">die Verabschiedung des Gesetzes zur Stärkung der Barrierefreiheit von 2021; </w:t>
      </w:r>
    </w:p>
    <w:p w14:paraId="38B94457" w14:textId="77777777" w:rsidR="00296E8D" w:rsidRPr="00212EA8" w:rsidRDefault="00296E8D" w:rsidP="00296E8D">
      <w:pPr>
        <w:pStyle w:val="SingleTxtG"/>
      </w:pPr>
      <w:r w:rsidRPr="00212EA8">
        <w:tab/>
        <w:t>c)</w:t>
      </w:r>
      <w:r w:rsidRPr="00212EA8">
        <w:tab/>
        <w:t>Verabschiedung des Gesetzes zur Reform des Vormundschaftsrechts für Kinder und Erwachsene von 2021;</w:t>
      </w:r>
    </w:p>
    <w:p w14:paraId="367F7EDE" w14:textId="77777777" w:rsidR="00296E8D" w:rsidRPr="00212EA8" w:rsidRDefault="00296E8D" w:rsidP="00296E8D">
      <w:pPr>
        <w:pStyle w:val="SingleTxtG"/>
      </w:pPr>
      <w:r w:rsidRPr="00212EA8">
        <w:lastRenderedPageBreak/>
        <w:tab/>
        <w:t>d)</w:t>
      </w:r>
      <w:r w:rsidRPr="00212EA8">
        <w:tab/>
        <w:t>Verabschiedung des Gesetzes zur Stärkung der Kinder- und Jugendhilfe von 2021;</w:t>
      </w:r>
    </w:p>
    <w:p w14:paraId="5432EC81" w14:textId="77777777" w:rsidR="00296E8D" w:rsidRPr="00212EA8" w:rsidRDefault="00296E8D" w:rsidP="00296E8D">
      <w:pPr>
        <w:pStyle w:val="SingleTxtG"/>
      </w:pPr>
      <w:r w:rsidRPr="00212EA8">
        <w:tab/>
        <w:t>e)</w:t>
      </w:r>
      <w:r w:rsidRPr="00212EA8">
        <w:tab/>
        <w:t xml:space="preserve">Die Unterzeichnung des Koalitionsvertrags von 2021; </w:t>
      </w:r>
    </w:p>
    <w:p w14:paraId="40A7F33F" w14:textId="77777777" w:rsidR="00296E8D" w:rsidRPr="00212EA8" w:rsidRDefault="00296E8D" w:rsidP="00296E8D">
      <w:pPr>
        <w:pStyle w:val="SingleTxtG"/>
      </w:pPr>
      <w:r w:rsidRPr="00212EA8">
        <w:tab/>
        <w:t>f)</w:t>
      </w:r>
      <w:r w:rsidRPr="00212EA8">
        <w:tab/>
        <w:t>die Verabschiedung des Gesetzes zum Schutz von Kindern mit Variationen in der Geschlechtsentwicklung von 2021;</w:t>
      </w:r>
    </w:p>
    <w:p w14:paraId="062B7E53" w14:textId="77777777" w:rsidR="00296E8D" w:rsidRPr="00212EA8" w:rsidRDefault="00296E8D" w:rsidP="00296E8D">
      <w:pPr>
        <w:pStyle w:val="SingleTxtG"/>
      </w:pPr>
      <w:r w:rsidRPr="00212EA8">
        <w:tab/>
        <w:t>g)</w:t>
      </w:r>
      <w:r w:rsidRPr="00212EA8">
        <w:tab/>
        <w:t>Die Verabschiedung des Family Members Relief Act von 2020;</w:t>
      </w:r>
    </w:p>
    <w:p w14:paraId="4D99DFBD" w14:textId="77777777" w:rsidR="00296E8D" w:rsidRPr="00212EA8" w:rsidRDefault="00296E8D" w:rsidP="00296E8D">
      <w:pPr>
        <w:pStyle w:val="SingleTxtG"/>
      </w:pPr>
      <w:r w:rsidRPr="00212EA8">
        <w:tab/>
        <w:t>h)</w:t>
      </w:r>
      <w:r w:rsidRPr="00212EA8">
        <w:tab/>
        <w:t>Verabschiedung des Gesetzes zur Änderung des Bundeswahlgesetzes und anderer Gesetze im Jahr 2019, mit dem die Beschränkungen des Wahlrechts von Menschen mit Behinderungen aufgehoben wurden;</w:t>
      </w:r>
    </w:p>
    <w:p w14:paraId="2329283C" w14:textId="77777777" w:rsidR="00296E8D" w:rsidRPr="00212EA8" w:rsidRDefault="00296E8D" w:rsidP="00296E8D">
      <w:pPr>
        <w:pStyle w:val="SingleTxtG"/>
      </w:pPr>
      <w:r w:rsidRPr="00212EA8">
        <w:tab/>
        <w:t>i)</w:t>
      </w:r>
      <w:r w:rsidRPr="00212EA8">
        <w:tab/>
        <w:t xml:space="preserve">Die Verabschiedung des Gesetzes zur Stärkung der Teilhabe und Selbstbestimmung von Menschen mit Behinderungen (Bundesteilhabegesetz) im Jahr 2016. </w:t>
      </w:r>
    </w:p>
    <w:p w14:paraId="7CF93FB7" w14:textId="77777777" w:rsidR="00296E8D" w:rsidRPr="00212EA8" w:rsidRDefault="00296E8D" w:rsidP="00296E8D">
      <w:pPr>
        <w:pStyle w:val="HChG"/>
      </w:pPr>
      <w:r w:rsidRPr="00212EA8">
        <w:tab/>
        <w:t>III.</w:t>
      </w:r>
      <w:r w:rsidRPr="00212EA8">
        <w:tab/>
        <w:t>Wichtigste Problembereiche und Empfehlungen</w:t>
      </w:r>
    </w:p>
    <w:p w14:paraId="010E38FC" w14:textId="77777777" w:rsidR="00296E8D" w:rsidRPr="00212EA8" w:rsidRDefault="00296E8D" w:rsidP="00296E8D">
      <w:pPr>
        <w:pStyle w:val="H1G"/>
      </w:pPr>
      <w:r w:rsidRPr="00212EA8">
        <w:tab/>
        <w:t>Ein.</w:t>
      </w:r>
      <w:r w:rsidRPr="00212EA8">
        <w:tab/>
        <w:t>Allgemeine Grundsätze und Pflichten (Art. 1–4)</w:t>
      </w:r>
    </w:p>
    <w:p w14:paraId="19ACC56F" w14:textId="77777777" w:rsidR="00296E8D" w:rsidRPr="00212EA8" w:rsidRDefault="00296E8D" w:rsidP="00296E8D">
      <w:pPr>
        <w:pStyle w:val="SingleTxtG"/>
      </w:pPr>
      <w:r w:rsidRPr="00212EA8">
        <w:t>5.</w:t>
      </w:r>
      <w:r w:rsidRPr="00212EA8">
        <w:tab/>
        <w:t xml:space="preserve">Der Ausschuss ist besorgt über die Verwendung eines medizinischen Modells von Behinderung in vielen Rechtsbereichen auf Bundes- und Landesebene. </w:t>
      </w:r>
    </w:p>
    <w:p w14:paraId="141EFB69" w14:textId="1C629B60" w:rsidR="00296E8D" w:rsidRPr="00212EA8" w:rsidRDefault="00296E8D" w:rsidP="00296E8D">
      <w:pPr>
        <w:pStyle w:val="SingleTxtG"/>
      </w:pPr>
      <w:r w:rsidRPr="00212EA8">
        <w:t>6.</w:t>
      </w:r>
      <w:r w:rsidRPr="00212EA8">
        <w:tab/>
      </w:r>
      <w:r w:rsidRPr="00212EA8">
        <w:rPr>
          <w:b/>
        </w:rPr>
        <w:t>unter Hinweis auf seine frühere Empfehlung,</w:t>
      </w:r>
      <w:r w:rsidRPr="00F972B6">
        <w:rPr>
          <w:rStyle w:val="Funotenzeichen"/>
        </w:rPr>
        <w:footnoteReference w:id="6"/>
      </w:r>
      <w:r w:rsidRPr="00212EA8">
        <w:rPr>
          <w:b/>
        </w:rPr>
        <w:t xml:space="preserve"> Der Ausschuss empfiehlt, dass der Vertragsstaat die Definition von Behinderung in Gesetzen und Politiken auf Bundes- und Landesebene mit den allgemeinen Grundsätzen und Bestimmungen der Konvention in Einklang bringt, insbesondere in Bezug auf die Nichtdiskriminierung und das menschenrechtliche Modell von Behinderung.</w:t>
      </w:r>
    </w:p>
    <w:p w14:paraId="039FA016" w14:textId="77777777" w:rsidR="00296E8D" w:rsidRPr="00212EA8" w:rsidRDefault="00296E8D" w:rsidP="00296E8D">
      <w:pPr>
        <w:pStyle w:val="SingleTxtG"/>
      </w:pPr>
      <w:r w:rsidRPr="00212EA8">
        <w:t>7.</w:t>
      </w:r>
      <w:r w:rsidRPr="00212EA8">
        <w:tab/>
        <w:t>Der Ausschuss ist besorgt über</w:t>
      </w:r>
    </w:p>
    <w:p w14:paraId="1DCD18EA" w14:textId="77777777" w:rsidR="00296E8D" w:rsidRPr="00212EA8" w:rsidRDefault="00296E8D" w:rsidP="00296E8D">
      <w:pPr>
        <w:pStyle w:val="SingleTxtG"/>
      </w:pPr>
      <w:r w:rsidRPr="00212EA8">
        <w:tab/>
        <w:t>(a)</w:t>
      </w:r>
      <w:r w:rsidRPr="00212EA8">
        <w:tab/>
        <w:t>die mangelnde Anerkennung von Behinderung als Verantwortung aller staatlichen Stellen in allen Ressorts der Regierung und die mangelnde Berücksichtigung von Maßnahmen zur Inklusion von Menschen mit Behinderungen in allen Bereichen der Regierung, der Gesellschaft und des Rechts;</w:t>
      </w:r>
    </w:p>
    <w:p w14:paraId="60418B94" w14:textId="77777777" w:rsidR="00296E8D" w:rsidRPr="00212EA8" w:rsidRDefault="00296E8D" w:rsidP="00296E8D">
      <w:pPr>
        <w:pStyle w:val="SingleTxtG"/>
      </w:pPr>
      <w:r w:rsidRPr="00212EA8">
        <w:tab/>
        <w:t>b)</w:t>
      </w:r>
      <w:r w:rsidRPr="00212EA8">
        <w:tab/>
        <w:t>das Fehlen einer systematischen Überprüfung der bestehenden Gesetze, Politiken und Verordnungen, um festzustellen, welche gesetzgeberischen Maßnahmen erforderlich sind, um den Verpflichtungen aus dem Übereinkommen nachzukommen;</w:t>
      </w:r>
    </w:p>
    <w:p w14:paraId="4D94A8A9" w14:textId="77777777" w:rsidR="00296E8D" w:rsidRPr="00212EA8" w:rsidRDefault="00296E8D" w:rsidP="00296E8D">
      <w:pPr>
        <w:pStyle w:val="SingleTxtG"/>
      </w:pPr>
      <w:r w:rsidRPr="00212EA8">
        <w:tab/>
        <w:t>c)</w:t>
      </w:r>
      <w:r w:rsidRPr="00212EA8">
        <w:tab/>
        <w:t>das Fehlen eines allgemeinen Rechts der Vereinigungen, rechtliche Schritte zur Durchsetzung der Rechte aus dem Übereinkommen einzuleiten, die seltene Inanspruchnahme solcher Rechte in den Bereichen, in denen die erforderlichen gesetzlichen Grundlagen bestehen, und – in den meisten dieser gesetzlichen Grundlagen – die begrenzten Rechtsbehelfe, die für Feststellungsurteile zur Verfügung stehen;</w:t>
      </w:r>
    </w:p>
    <w:p w14:paraId="5B172F2A" w14:textId="77777777" w:rsidR="00296E8D" w:rsidRPr="00212EA8" w:rsidRDefault="00296E8D" w:rsidP="00296E8D">
      <w:pPr>
        <w:pStyle w:val="SingleTxtG"/>
      </w:pPr>
      <w:r w:rsidRPr="00212EA8">
        <w:tab/>
        <w:t>d)</w:t>
      </w:r>
      <w:r w:rsidRPr="00212EA8">
        <w:tab/>
        <w:t>das Fehlen einer systematischen und institutionalisierten Zusammenarbeit mit Organisationen von Menschen mit Behinderungen, einschließlich Organisationen von Kindern mit Behinderungen, in allen Angelegenheiten, die sie betreffen, und von Prozessen für eine enge Konsultation und aktive Beteiligung von Organisationen von Menschen mit Behinderungen;</w:t>
      </w:r>
    </w:p>
    <w:p w14:paraId="23793AF2" w14:textId="77777777" w:rsidR="00296E8D" w:rsidRPr="00212EA8" w:rsidRDefault="00296E8D" w:rsidP="00296E8D">
      <w:pPr>
        <w:pStyle w:val="SingleTxtG"/>
      </w:pPr>
      <w:r w:rsidRPr="00212EA8">
        <w:tab/>
        <w:t>e)</w:t>
      </w:r>
      <w:r w:rsidRPr="00212EA8">
        <w:tab/>
        <w:t>die unzureichenden Ressourcen von Organisationen von Menschen mit Behinderungen, um sich aktiv an der Entwicklung und Umsetzung von Gesetzen, Politiken, Programmen und Verordnungen zur Umsetzung des Übereinkommens zu beteiligen, sowie unangemessene administrative Hürden für den Zugang zu Finanzmitteln;</w:t>
      </w:r>
    </w:p>
    <w:p w14:paraId="7CD723D6" w14:textId="77777777" w:rsidR="00296E8D" w:rsidRPr="00212EA8" w:rsidRDefault="00296E8D" w:rsidP="00296E8D">
      <w:pPr>
        <w:pStyle w:val="SingleTxtG"/>
      </w:pPr>
      <w:r w:rsidRPr="00212EA8">
        <w:tab/>
        <w:t>f)</w:t>
      </w:r>
      <w:r w:rsidRPr="00212EA8">
        <w:tab/>
        <w:t xml:space="preserve">Die sehr unterschiedlichen Bemühungen um die Umsetzung der Konvention in den einzelnen Ländern und eine unzureichende menschenrechtliche Perspektive in den Aktionsplänen vieler Länder. </w:t>
      </w:r>
    </w:p>
    <w:p w14:paraId="6486C559" w14:textId="77777777" w:rsidR="00296E8D" w:rsidRPr="00212EA8" w:rsidRDefault="00296E8D" w:rsidP="00296E8D">
      <w:pPr>
        <w:pStyle w:val="SingleTxtG"/>
      </w:pPr>
      <w:r w:rsidRPr="00212EA8">
        <w:lastRenderedPageBreak/>
        <w:t>8.</w:t>
      </w:r>
      <w:r w:rsidRPr="00212EA8">
        <w:tab/>
      </w:r>
      <w:r w:rsidRPr="00212EA8">
        <w:rPr>
          <w:b/>
        </w:rPr>
        <w:t>Der Ausschuss empfiehlt dem Vertragsstaat,</w:t>
      </w:r>
    </w:p>
    <w:p w14:paraId="214DC3DF" w14:textId="77777777" w:rsidR="00296E8D" w:rsidRPr="00212EA8" w:rsidRDefault="00296E8D" w:rsidP="00296E8D">
      <w:pPr>
        <w:pStyle w:val="SingleTxtG"/>
        <w:rPr>
          <w:b/>
          <w:bCs/>
        </w:rPr>
      </w:pPr>
      <w:r w:rsidRPr="00212EA8">
        <w:rPr>
          <w:b/>
          <w:bCs/>
        </w:rPr>
        <w:tab/>
      </w:r>
      <w:r w:rsidRPr="00212EA8">
        <w:t>(a)</w:t>
      </w:r>
      <w:r w:rsidRPr="00212EA8">
        <w:rPr>
          <w:b/>
          <w:bCs/>
        </w:rPr>
        <w:tab/>
        <w:t xml:space="preserve">Entwicklung von Strategien zur Stärkung des Engagements in allen Regierungsbereichen </w:t>
      </w:r>
      <w:bookmarkStart w:id="1" w:name="_Hlk144471719"/>
      <w:r w:rsidRPr="00212EA8">
        <w:rPr>
          <w:b/>
          <w:bCs/>
        </w:rPr>
        <w:t>Portfoliobereiche, um sicherzustellen, dass Behinderung als Querschnittsthema in allen Bereichen der Regierung und der Gesellschaft anerkannt wird, und um behindertenbezogene Maßnahmen wirksam in alle Bereiche des Rechts zu integrieren;</w:t>
      </w:r>
      <w:bookmarkEnd w:id="1"/>
    </w:p>
    <w:p w14:paraId="3F600200" w14:textId="77777777" w:rsidR="00296E8D" w:rsidRPr="00212EA8" w:rsidRDefault="00296E8D" w:rsidP="00296E8D">
      <w:pPr>
        <w:pStyle w:val="SingleTxtG"/>
        <w:rPr>
          <w:b/>
          <w:bCs/>
        </w:rPr>
      </w:pPr>
      <w:r w:rsidRPr="00212EA8">
        <w:rPr>
          <w:b/>
          <w:bCs/>
        </w:rPr>
        <w:tab/>
      </w:r>
      <w:r w:rsidRPr="00212EA8">
        <w:t>b)</w:t>
      </w:r>
      <w:r w:rsidRPr="00212EA8">
        <w:rPr>
          <w:b/>
          <w:bCs/>
        </w:rPr>
        <w:tab/>
        <w:t>systematisch die Vereinbarkeit bestehender Gesetze, Politiken und Verwaltungspraktiken mit den Verpflichtungen des Vertragsstaats aus der Konvention zu überprüfen und menschenrechtsbasierte Aktionspläne mit einem klaren Behinderungsbegriff aufzustellen, die Maßnahmen zur Förderung, zum Schutz und zur Erfüllung der Rechte aus der Konvention enthalten, und Zielvorgaben und Indikatoren für die Überwachung der Umsetzung des Übereinkommens, wie vom Ausschuss in seiner früheren Empfehlung empfohlen;</w:t>
      </w:r>
      <w:r w:rsidRPr="00F972B6">
        <w:rPr>
          <w:rStyle w:val="Funotenzeichen"/>
        </w:rPr>
        <w:footnoteReference w:id="7"/>
      </w:r>
    </w:p>
    <w:p w14:paraId="6139987C" w14:textId="77777777" w:rsidR="00296E8D" w:rsidRPr="00212EA8" w:rsidRDefault="00296E8D" w:rsidP="00296E8D">
      <w:pPr>
        <w:pStyle w:val="SingleTxtG"/>
        <w:rPr>
          <w:b/>
          <w:bCs/>
        </w:rPr>
      </w:pPr>
      <w:r w:rsidRPr="00212EA8">
        <w:rPr>
          <w:b/>
          <w:bCs/>
        </w:rPr>
        <w:tab/>
      </w:r>
      <w:r w:rsidRPr="00212EA8">
        <w:t>c)</w:t>
      </w:r>
      <w:r w:rsidRPr="00212EA8">
        <w:rPr>
          <w:b/>
          <w:bCs/>
        </w:rPr>
        <w:tab/>
        <w:t>Überprüfung der gesetzlichen Grundlagen des Klagerechts von Vereinigungen zur Durchsetzung der Rechte aus der Konvention auf Bundes- und Landesebene, Einführung eines allgemein gültigen Rechtsbehelfsrechts für Vereinigungen, Schaffung wirksamer Rechtsbehelfe über bloße Feststellungsurteile hinaus und Beseitigung unzumutbarer Belastungen wie der Gefahr untragbarer Prozesskosten und überzogener Zulässigkeitsanforderungen;</w:t>
      </w:r>
    </w:p>
    <w:p w14:paraId="799BA8C2" w14:textId="77777777" w:rsidR="00296E8D" w:rsidRPr="00212EA8" w:rsidRDefault="00296E8D" w:rsidP="00296E8D">
      <w:pPr>
        <w:pStyle w:val="SingleTxtG"/>
        <w:rPr>
          <w:b/>
        </w:rPr>
      </w:pPr>
      <w:r w:rsidRPr="00212EA8">
        <w:rPr>
          <w:b/>
        </w:rPr>
        <w:tab/>
      </w:r>
      <w:r w:rsidRPr="00212EA8">
        <w:rPr>
          <w:bCs/>
        </w:rPr>
        <w:t>d)</w:t>
      </w:r>
      <w:r w:rsidRPr="00212EA8">
        <w:rPr>
          <w:b/>
        </w:rPr>
        <w:tab/>
        <w:t xml:space="preserve">Entwicklung und Umsetzung institutionalisierter Verfahren für eine enge Konsultation und aktive Beteiligung von Organisationen von Menschen mit Behinderungen, einschließlich </w:t>
      </w:r>
      <w:r w:rsidRPr="00212EA8">
        <w:rPr>
          <w:b/>
          <w:bCs/>
        </w:rPr>
        <w:t>Organisationen für Kinder mit Behinderungen</w:t>
      </w:r>
      <w:r w:rsidRPr="00212EA8">
        <w:rPr>
          <w:b/>
        </w:rPr>
        <w:t>in allen Angelegenheiten, die sie betreffen, Standards für diese Verfahren festzulegen, unter anderem eine ausreichende Zeit für ihre Antworten zu gewährleisten und alle einschlägigen Dokumente in zugänglichen Formaten im Einklang mit der Allgemeinen Bemerkung Nr. 7 (2018) des Ausschusses (Ziffer 54) und seiner früheren Empfehlung zur Verfügung zu stellen;</w:t>
      </w:r>
      <w:r w:rsidRPr="00F972B6">
        <w:rPr>
          <w:rStyle w:val="Funotenzeichen"/>
        </w:rPr>
        <w:footnoteReference w:id="8"/>
      </w:r>
    </w:p>
    <w:p w14:paraId="63A600E7" w14:textId="4845E790" w:rsidR="00296E8D" w:rsidRPr="00212EA8" w:rsidRDefault="00296E8D" w:rsidP="006D40C5">
      <w:pPr>
        <w:pStyle w:val="SingleTxtG"/>
        <w:rPr>
          <w:b/>
        </w:rPr>
      </w:pPr>
      <w:r w:rsidRPr="00212EA8">
        <w:rPr>
          <w:b/>
        </w:rPr>
        <w:tab/>
      </w:r>
      <w:r w:rsidRPr="00212EA8">
        <w:rPr>
          <w:bCs/>
        </w:rPr>
        <w:t>e)</w:t>
      </w:r>
      <w:r w:rsidRPr="00212EA8">
        <w:rPr>
          <w:bCs/>
        </w:rPr>
        <w:tab/>
      </w:r>
      <w:r w:rsidRPr="00212EA8">
        <w:rPr>
          <w:b/>
        </w:rPr>
        <w:t>eingedenk der Allgemeinen Bemerkung Nr. 7 (2018) des Ausschusses (Ziffern 60 und 61), die Fähigkeit von Organisationen von Menschen mit Behinderungen, einschließlich Kindern mit Behinderungen und Menschen mit geistigen und/oder psychosozialen Behinderungen, zu stärken, sich aktiv an allen Maßnahmen zur Durchführung des Übereinkommens zu beteiligen und ihre gesetzlichen Rechte auf rechtliche Schritte wirksam wahrzunehmen,  und ausreichende Mittel bereitzustellen. Der Vertragsstaat sollte auch sicherstellen, dass die Finanzierung nicht ausschließlich projektbezogen ist und ohne unangemessene administrative Hürden zugänglich ist;</w:t>
      </w:r>
    </w:p>
    <w:p w14:paraId="727D8371" w14:textId="77777777" w:rsidR="00296E8D" w:rsidRPr="00212EA8" w:rsidRDefault="00296E8D" w:rsidP="00296E8D">
      <w:pPr>
        <w:pStyle w:val="SingleTxtG"/>
        <w:rPr>
          <w:b/>
          <w:bCs/>
        </w:rPr>
      </w:pPr>
      <w:r w:rsidRPr="00212EA8">
        <w:rPr>
          <w:b/>
        </w:rPr>
        <w:tab/>
      </w:r>
      <w:r w:rsidRPr="00212EA8">
        <w:rPr>
          <w:bCs/>
        </w:rPr>
        <w:t>f)</w:t>
      </w:r>
      <w:r w:rsidRPr="00212EA8">
        <w:rPr>
          <w:b/>
        </w:rPr>
        <w:tab/>
        <w:t>eingedenk seiner Verpflichtungen aus Artikel 4 Absatz 5 des Übereinkommens, die Koordinierung zwischen den Ländern bei ihren Bemühungen um die Durchführung des Übereinkommens zu verbessern und dafür zu sorgen, dass</w:t>
      </w:r>
      <w:r w:rsidRPr="00212EA8">
        <w:rPr>
          <w:b/>
          <w:bCs/>
        </w:rPr>
        <w:t xml:space="preserve"> ihre Aktionspläne zur Umsetzung der Rechte von Menschen mit Behinderungen im Einklang mit ihren Verpflichtungen aus dem Übereinkommen stehen.</w:t>
      </w:r>
    </w:p>
    <w:p w14:paraId="54288AF9" w14:textId="77777777" w:rsidR="00296E8D" w:rsidRPr="00212EA8" w:rsidRDefault="00296E8D" w:rsidP="00296E8D">
      <w:pPr>
        <w:pStyle w:val="SingleTxtG"/>
        <w:rPr>
          <w:bCs/>
        </w:rPr>
      </w:pPr>
      <w:r w:rsidRPr="00212EA8">
        <w:rPr>
          <w:bCs/>
        </w:rPr>
        <w:t>9.</w:t>
      </w:r>
      <w:r w:rsidRPr="00212EA8">
        <w:rPr>
          <w:bCs/>
        </w:rPr>
        <w:tab/>
        <w:t>Unter Berücksichtigung der Tatsache, dass der Vertragsstaat das Fakultativprotokoll zum Übereinkommen ratifiziert hat, ist der Ausschuss besorgt über die sehr textuelle Methode, die von den Gerichten des Vertragsstaats bei der Feststellung der Justiziabilität der Bestimmungen des Übereinkommens angewandt wird.</w:t>
      </w:r>
    </w:p>
    <w:p w14:paraId="3268554A" w14:textId="77777777" w:rsidR="00296E8D" w:rsidRPr="00212EA8" w:rsidRDefault="00296E8D" w:rsidP="00296E8D">
      <w:pPr>
        <w:pStyle w:val="SingleTxtG"/>
        <w:rPr>
          <w:b/>
          <w:bCs/>
        </w:rPr>
      </w:pPr>
      <w:r w:rsidRPr="00212EA8">
        <w:rPr>
          <w:bCs/>
        </w:rPr>
        <w:t>10.</w:t>
      </w:r>
      <w:r w:rsidRPr="00212EA8">
        <w:rPr>
          <w:bCs/>
        </w:rPr>
        <w:tab/>
      </w:r>
      <w:r w:rsidRPr="00212EA8">
        <w:rPr>
          <w:b/>
          <w:bCs/>
        </w:rPr>
        <w:t>Der Ausschuss empfiehlt, dass der Vertragsstaat, insbesondere seine Gerichte, die Justiziabilität der Bestimmungen des Übereinkommens, einschließlich der Rechte, die der schrittweisen Verwirklichung auf der Grundlage von Artikel 4 Absatz 2 des Übereinkommens unterliegen, in enger Abstimmung mit der Rechtsprechung des Ausschusses im Rahmen des Fakultativprotokolls feststellen.</w:t>
      </w:r>
    </w:p>
    <w:p w14:paraId="679CC1C3" w14:textId="77777777" w:rsidR="00296E8D" w:rsidRPr="00212EA8" w:rsidRDefault="00296E8D" w:rsidP="00296E8D">
      <w:pPr>
        <w:pStyle w:val="H1G"/>
      </w:pPr>
      <w:r w:rsidRPr="00212EA8">
        <w:lastRenderedPageBreak/>
        <w:tab/>
        <w:t>B.</w:t>
      </w:r>
      <w:r w:rsidRPr="00212EA8">
        <w:tab/>
        <w:t>Besondere Rechte (Art. 5–30)</w:t>
      </w:r>
    </w:p>
    <w:p w14:paraId="03C2336E" w14:textId="77777777" w:rsidR="00296E8D" w:rsidRPr="00212EA8" w:rsidRDefault="00296E8D" w:rsidP="00296E8D">
      <w:pPr>
        <w:pStyle w:val="H23G"/>
      </w:pPr>
      <w:r w:rsidRPr="00212EA8">
        <w:tab/>
      </w:r>
      <w:r w:rsidRPr="00212EA8">
        <w:tab/>
        <w:t>Gleichstellung und Nichtdiskriminierung (Art. 5)</w:t>
      </w:r>
    </w:p>
    <w:p w14:paraId="4C3BB16B" w14:textId="77777777" w:rsidR="00296E8D" w:rsidRPr="00212EA8" w:rsidRDefault="00296E8D" w:rsidP="00296E8D">
      <w:pPr>
        <w:pStyle w:val="SingleTxtG"/>
      </w:pPr>
      <w:r w:rsidRPr="00212EA8">
        <w:t>11.</w:t>
      </w:r>
      <w:r w:rsidRPr="00212EA8">
        <w:tab/>
        <w:t>Der Ausschuss ist besorgt darüber, dass:</w:t>
      </w:r>
    </w:p>
    <w:p w14:paraId="29122107" w14:textId="77777777" w:rsidR="00296E8D" w:rsidRPr="00212EA8" w:rsidRDefault="00296E8D" w:rsidP="00296E8D">
      <w:pPr>
        <w:pStyle w:val="SingleTxtG"/>
      </w:pPr>
      <w:r w:rsidRPr="00212EA8">
        <w:tab/>
        <w:t>(a)</w:t>
      </w:r>
      <w:r w:rsidRPr="00212EA8">
        <w:tab/>
        <w:t>Der rechtliche Schutz vor Diskriminierung und die besonderen Rechte aus dem Übereinkommen erstrecken sich, von wenigen Ausnahmen abgesehen, nicht auf private Anbieter von Waren und Dienstleistungen;</w:t>
      </w:r>
    </w:p>
    <w:p w14:paraId="3789C423" w14:textId="77777777" w:rsidR="00296E8D" w:rsidRPr="00212EA8" w:rsidRDefault="00296E8D" w:rsidP="00296E8D">
      <w:pPr>
        <w:pStyle w:val="SingleTxtG"/>
      </w:pPr>
      <w:r w:rsidRPr="00212EA8">
        <w:tab/>
        <w:t>b)</w:t>
      </w:r>
      <w:r w:rsidRPr="00212EA8">
        <w:tab/>
        <w:t>Die Gesetze des Vertragsstaats definieren die Verweigerung angemessener Vorkehrungen nicht als eine Form der Diskriminierung im gesamten Rechtssystem, sondern beschränken sich auf bestimmte Bereiche, und das Verständnis der Anforderungen an die Umsetzung angemessener Vorkehrungen könnte verbessert werden;</w:t>
      </w:r>
    </w:p>
    <w:p w14:paraId="3B364E34" w14:textId="77777777" w:rsidR="00296E8D" w:rsidRPr="00212EA8" w:rsidRDefault="00296E8D" w:rsidP="00296E8D">
      <w:pPr>
        <w:pStyle w:val="SingleTxtG"/>
      </w:pPr>
      <w:r w:rsidRPr="00212EA8">
        <w:tab/>
        <w:t>c)</w:t>
      </w:r>
      <w:r w:rsidRPr="00212EA8">
        <w:tab/>
        <w:t>Die Gesetze des Vertragsstaats, einschließlich der Gesetze der Länder, befassen sich weder allgemein noch explizit mit multiplen und intersektionalen Formen der Diskriminierung;</w:t>
      </w:r>
    </w:p>
    <w:p w14:paraId="2D62F26A" w14:textId="56DFA40E" w:rsidR="00296E8D" w:rsidRPr="00212EA8" w:rsidRDefault="00296E8D" w:rsidP="00296E8D">
      <w:pPr>
        <w:pStyle w:val="SingleTxtG"/>
      </w:pPr>
      <w:r w:rsidRPr="00212EA8">
        <w:tab/>
        <w:t>d)</w:t>
      </w:r>
      <w:r w:rsidRPr="00212EA8">
        <w:tab/>
        <w:t xml:space="preserve">Die Beweislasterleichterung im </w:t>
      </w:r>
      <w:bookmarkStart w:id="2" w:name="_Hlk144472921"/>
      <w:r w:rsidRPr="00212EA8">
        <w:t>Das Allgemeine Gleichbehandlungsgesetz umfasst nicht eindeutig die Pflicht der Parteien, das Vorliegen einer Benachteiligung nachzuweisen.</w:t>
      </w:r>
      <w:bookmarkEnd w:id="2"/>
    </w:p>
    <w:p w14:paraId="47FA97F6" w14:textId="77777777" w:rsidR="00296E8D" w:rsidRPr="00212EA8" w:rsidRDefault="00296E8D" w:rsidP="00296E8D">
      <w:pPr>
        <w:pStyle w:val="SingleTxtG"/>
      </w:pPr>
      <w:r w:rsidRPr="00212EA8">
        <w:t>12.</w:t>
      </w:r>
      <w:r w:rsidRPr="00212EA8">
        <w:tab/>
      </w:r>
      <w:r w:rsidRPr="00212EA8">
        <w:rPr>
          <w:b/>
        </w:rPr>
        <w:t xml:space="preserve">Unter Hinweis auf seine allgemeine Bemerkung Nr. 6 (2018) empfiehlt der Ausschuss dem Vertragsstaat, </w:t>
      </w:r>
    </w:p>
    <w:p w14:paraId="73A48ED5" w14:textId="77777777" w:rsidR="00296E8D" w:rsidRPr="00212EA8" w:rsidRDefault="00296E8D" w:rsidP="00296E8D">
      <w:pPr>
        <w:pStyle w:val="SingleTxtG"/>
        <w:rPr>
          <w:b/>
        </w:rPr>
      </w:pPr>
      <w:r w:rsidRPr="00212EA8">
        <w:rPr>
          <w:b/>
        </w:rPr>
        <w:tab/>
      </w:r>
      <w:r w:rsidRPr="00212EA8">
        <w:rPr>
          <w:bCs/>
        </w:rPr>
        <w:t>(a)</w:t>
      </w:r>
      <w:r w:rsidRPr="00212EA8">
        <w:rPr>
          <w:b/>
        </w:rPr>
        <w:tab/>
        <w:t>seine Zusagen aus dem Koalitionsvertrag von 2021 zu erfüllen und den Rechtsschutz gegen Diskriminierung und die spezifischen Rechte aus der Konvention auf alle privaten Einrichtungen auszudehnen, die Waren und Dienstleistungen für die Öffentlichkeit bereitstellen, und wirksame Rechtsbehelfe zur Durchsetzung der jeweiligen Verpflichtungen einzuführen;</w:t>
      </w:r>
    </w:p>
    <w:p w14:paraId="0B0872C0" w14:textId="77777777" w:rsidR="00296E8D" w:rsidRPr="00212EA8" w:rsidRDefault="00296E8D" w:rsidP="00296E8D">
      <w:pPr>
        <w:pStyle w:val="SingleTxtG"/>
        <w:rPr>
          <w:b/>
        </w:rPr>
      </w:pPr>
      <w:r w:rsidRPr="00212EA8">
        <w:rPr>
          <w:b/>
        </w:rPr>
        <w:tab/>
      </w:r>
      <w:r w:rsidRPr="00212EA8">
        <w:rPr>
          <w:bCs/>
        </w:rPr>
        <w:t>b)</w:t>
      </w:r>
      <w:r w:rsidRPr="00212EA8">
        <w:rPr>
          <w:b/>
        </w:rPr>
        <w:tab/>
        <w:t>seine Gesetze auf Bundes- und Landesebene dahingehend zu ändern, dass die Verweigerung angemessener Vorkehrungen als eine Form der Diskriminierung in allen Rechtsbereichen ausdrücklich anerkannt wird und eine Legaldefinition des Begriffs "angemessene Vorkehrungen" aufgenommen wird, die mit der in Artikel 2 des Übereinkommens festgelegten Bedeutung vereinbar ist;</w:t>
      </w:r>
    </w:p>
    <w:p w14:paraId="5E26DC7B" w14:textId="77777777" w:rsidR="00296E8D" w:rsidRPr="00212EA8" w:rsidRDefault="00296E8D" w:rsidP="00296E8D">
      <w:pPr>
        <w:pStyle w:val="SingleTxtG"/>
        <w:rPr>
          <w:b/>
        </w:rPr>
      </w:pPr>
      <w:r w:rsidRPr="00212EA8">
        <w:rPr>
          <w:b/>
        </w:rPr>
        <w:tab/>
      </w:r>
      <w:r w:rsidRPr="00212EA8">
        <w:rPr>
          <w:bCs/>
        </w:rPr>
        <w:t>c)</w:t>
      </w:r>
      <w:r w:rsidRPr="00212EA8">
        <w:rPr>
          <w:b/>
        </w:rPr>
        <w:tab/>
        <w:t>die rechtlichen und sonstigen Maßnahmen zu ergreifen, die erforderlich sind, um einen ausdrücklichen Schutz vor mehrfachen und intersektionalen Formen der Diskriminierung zu gewährleisten, einschließlich der Diskriminierung aufgrund der Überschneidung zwischen Behinderung und anderen Status, wie Alter, Geschlecht, Rasse, Indigenität, Lesben-, Schwulen-, Bisexuellen-, Transgender- und Intersexuellenstatus, ethnischer Zugehörigkeit, Migrationsstatus und nationaler Herkunft;</w:t>
      </w:r>
    </w:p>
    <w:p w14:paraId="13E54562" w14:textId="77777777" w:rsidR="00296E8D" w:rsidRPr="00212EA8" w:rsidRDefault="00296E8D" w:rsidP="00296E8D">
      <w:pPr>
        <w:pStyle w:val="SingleTxtG"/>
        <w:rPr>
          <w:b/>
        </w:rPr>
      </w:pPr>
      <w:r w:rsidRPr="00212EA8">
        <w:rPr>
          <w:b/>
        </w:rPr>
        <w:tab/>
      </w:r>
      <w:r w:rsidRPr="00212EA8">
        <w:rPr>
          <w:bCs/>
        </w:rPr>
        <w:t>d)</w:t>
      </w:r>
      <w:r w:rsidRPr="00212EA8">
        <w:rPr>
          <w:b/>
        </w:rPr>
        <w:tab/>
        <w:t>ihre Gesetze über die Befreiung von der Beweislast, insbesondere § 22 des Allgemeinen Gleichbehandlungsgesetzes, dahingehend zu ändern, dass</w:t>
      </w:r>
      <w:r w:rsidRPr="00212EA8">
        <w:rPr>
          <w:b/>
          <w:bCs/>
        </w:rPr>
        <w:t>die Pflicht der Parteien, das Vorliegen eines Nachteils im Rahmen dieses Rechtsbehelfs nachzuweisen,</w:t>
      </w:r>
      <w:r w:rsidRPr="00212EA8">
        <w:rPr>
          <w:b/>
        </w:rPr>
        <w:t xml:space="preserve">. </w:t>
      </w:r>
    </w:p>
    <w:p w14:paraId="5DA38D40" w14:textId="77777777" w:rsidR="00296E8D" w:rsidRPr="00212EA8" w:rsidRDefault="00296E8D" w:rsidP="00296E8D">
      <w:pPr>
        <w:pStyle w:val="H23G"/>
      </w:pPr>
      <w:r w:rsidRPr="00212EA8">
        <w:tab/>
      </w:r>
      <w:r w:rsidRPr="00212EA8">
        <w:tab/>
        <w:t>Frauen mit Behinderungen (Art. 6)</w:t>
      </w:r>
    </w:p>
    <w:p w14:paraId="666EC97B" w14:textId="77777777" w:rsidR="00296E8D" w:rsidRPr="00212EA8" w:rsidRDefault="00296E8D" w:rsidP="00296E8D">
      <w:pPr>
        <w:pStyle w:val="SingleTxtG"/>
      </w:pPr>
      <w:r w:rsidRPr="00212EA8">
        <w:t>13.</w:t>
      </w:r>
      <w:r w:rsidRPr="00212EA8">
        <w:tab/>
        <w:t>Der Ausschuss ist besorgt über</w:t>
      </w:r>
    </w:p>
    <w:p w14:paraId="43346FD7" w14:textId="77777777" w:rsidR="00296E8D" w:rsidRPr="00212EA8" w:rsidRDefault="00296E8D" w:rsidP="00296E8D">
      <w:pPr>
        <w:pStyle w:val="SingleTxtG"/>
      </w:pPr>
      <w:r w:rsidRPr="00212EA8">
        <w:tab/>
        <w:t>(a)</w:t>
      </w:r>
      <w:r w:rsidRPr="00212EA8">
        <w:tab/>
        <w:t>das Fehlen eines umfassenden intersektionalen Ansatzes, mit dem sichergestellt werden soll, dass Belange von Frauen und Mädchen mit Behinderungen, einschließlich Migrantinnen und Mädchen mit Behinderungen, sowohl in die Gesetzgebung als auch in die Politik zur Gleichstellung der Geschlechter und Behinderungen einbezogen werden;</w:t>
      </w:r>
    </w:p>
    <w:p w14:paraId="4DB3641F" w14:textId="77777777" w:rsidR="00296E8D" w:rsidRPr="00212EA8" w:rsidRDefault="00296E8D" w:rsidP="00296E8D">
      <w:pPr>
        <w:pStyle w:val="SingleTxtG"/>
      </w:pPr>
      <w:r w:rsidRPr="00212EA8">
        <w:tab/>
        <w:t>b)</w:t>
      </w:r>
      <w:r w:rsidRPr="00212EA8">
        <w:tab/>
        <w:t xml:space="preserve">Das Fehlen einer ausreichenden langfristigen Finanzierung von repräsentativen Organisationen von Frauen und Mädchen mit Behinderungen, um ihre Menschenrechte zu fördern und zu fördern. </w:t>
      </w:r>
    </w:p>
    <w:p w14:paraId="7614CB01" w14:textId="77777777" w:rsidR="00296E8D" w:rsidRPr="00212EA8" w:rsidRDefault="00296E8D" w:rsidP="00296E8D">
      <w:pPr>
        <w:pStyle w:val="SingleTxtG"/>
      </w:pPr>
      <w:r w:rsidRPr="00212EA8">
        <w:t>14.</w:t>
      </w:r>
      <w:r w:rsidRPr="00212EA8">
        <w:tab/>
      </w:r>
      <w:r w:rsidRPr="00212EA8">
        <w:rPr>
          <w:b/>
        </w:rPr>
        <w:t xml:space="preserve">Der Ausschuss verweist auf seine allgemeine Bemerkung Nr. 3 (2016) und empfiehlt dem Vertragsstaat auf Bundes- und Landesebene: </w:t>
      </w:r>
    </w:p>
    <w:p w14:paraId="16BCEC16" w14:textId="77777777" w:rsidR="00296E8D" w:rsidRPr="00212EA8" w:rsidRDefault="00296E8D" w:rsidP="00296E8D">
      <w:pPr>
        <w:pStyle w:val="SingleTxtG"/>
        <w:rPr>
          <w:b/>
        </w:rPr>
      </w:pPr>
      <w:r w:rsidRPr="00212EA8">
        <w:rPr>
          <w:b/>
        </w:rPr>
        <w:lastRenderedPageBreak/>
        <w:tab/>
      </w:r>
      <w:r w:rsidRPr="00212EA8">
        <w:rPr>
          <w:bCs/>
        </w:rPr>
        <w:t>(a)</w:t>
      </w:r>
      <w:r w:rsidRPr="00212EA8">
        <w:rPr>
          <w:b/>
        </w:rPr>
        <w:tab/>
        <w:t>Stärkung der Maßnahmen und politischen Mechanismen, um sicherzustellen, dass Fragen im Zusammenhang mit Frauen und Mädchen mit Behinderungen, einschließlich Migrantinnen und Mädchen mit Behinderungen, im Rahmen der Rechtsvorschriften und Strategien für Gleichstellung und Behinderung umfassend behandelt werden;</w:t>
      </w:r>
    </w:p>
    <w:p w14:paraId="68B9D23E" w14:textId="77777777" w:rsidR="00296E8D" w:rsidRPr="00212EA8" w:rsidRDefault="00296E8D" w:rsidP="00296E8D">
      <w:pPr>
        <w:pStyle w:val="SingleTxtG"/>
        <w:rPr>
          <w:b/>
        </w:rPr>
      </w:pPr>
      <w:r w:rsidRPr="00212EA8">
        <w:rPr>
          <w:b/>
        </w:rPr>
        <w:tab/>
      </w:r>
      <w:r w:rsidRPr="00212EA8">
        <w:rPr>
          <w:bCs/>
        </w:rPr>
        <w:t>b)</w:t>
      </w:r>
      <w:r w:rsidRPr="00212EA8">
        <w:rPr>
          <w:b/>
        </w:rPr>
        <w:tab/>
        <w:t xml:space="preserve">Entwicklung von Maßnahmen, einschließlich ausreichender langfristiger finanzieller Ressourcen, um Organisationen von Frauen und Mädchen mit Behinderungen bei der Förderung ihrer Menschenrechte zu unterstützen. </w:t>
      </w:r>
    </w:p>
    <w:p w14:paraId="3BC394F3" w14:textId="77777777" w:rsidR="00296E8D" w:rsidRPr="00212EA8" w:rsidRDefault="00296E8D" w:rsidP="00296E8D">
      <w:pPr>
        <w:pStyle w:val="H23G"/>
      </w:pPr>
      <w:r w:rsidRPr="00212EA8">
        <w:tab/>
      </w:r>
      <w:r w:rsidRPr="00212EA8">
        <w:tab/>
        <w:t>Kinder mit Behinderungen (Art. 7)</w:t>
      </w:r>
    </w:p>
    <w:p w14:paraId="593614DA" w14:textId="77777777" w:rsidR="00296E8D" w:rsidRPr="00212EA8" w:rsidRDefault="00296E8D" w:rsidP="00296E8D">
      <w:pPr>
        <w:pStyle w:val="SingleTxtG"/>
      </w:pPr>
      <w:r w:rsidRPr="00212EA8">
        <w:t>15.</w:t>
      </w:r>
      <w:r w:rsidRPr="00212EA8">
        <w:tab/>
        <w:t>Der Ausschuss ist besorgt über</w:t>
      </w:r>
    </w:p>
    <w:p w14:paraId="0ACAE297" w14:textId="77777777" w:rsidR="00296E8D" w:rsidRPr="00212EA8" w:rsidRDefault="00296E8D" w:rsidP="00296E8D">
      <w:pPr>
        <w:pStyle w:val="SingleTxtG"/>
      </w:pPr>
      <w:r w:rsidRPr="00212EA8">
        <w:tab/>
        <w:t>(a)</w:t>
      </w:r>
      <w:r w:rsidRPr="00212EA8">
        <w:tab/>
        <w:t>die mangelnde Schulung der Einrichtungen und ihrer Mitarbeiter in der Anwendung des neuen Gesetzes zur Stärkung der Kinder- und Jugendhilfe im Hinblick auf die Bedürfnisse von Kindern mit Behinderungen;</w:t>
      </w:r>
    </w:p>
    <w:p w14:paraId="246363D8" w14:textId="77777777" w:rsidR="00296E8D" w:rsidRPr="00212EA8" w:rsidRDefault="00296E8D" w:rsidP="00296E8D">
      <w:pPr>
        <w:pStyle w:val="SingleTxtG"/>
      </w:pPr>
      <w:r w:rsidRPr="00212EA8">
        <w:tab/>
        <w:t>b)</w:t>
      </w:r>
      <w:r w:rsidRPr="00212EA8">
        <w:tab/>
        <w:t>Die hohen Kosten für Eltern von Betreuungsdiensten und stationären Behandlungen für Kinder mit Behinderungen;</w:t>
      </w:r>
    </w:p>
    <w:p w14:paraId="13FA16A9" w14:textId="77777777" w:rsidR="00296E8D" w:rsidRPr="00212EA8" w:rsidRDefault="00296E8D" w:rsidP="00296E8D">
      <w:pPr>
        <w:pStyle w:val="SingleTxtG"/>
      </w:pPr>
      <w:r w:rsidRPr="00212EA8">
        <w:tab/>
        <w:t>c)</w:t>
      </w:r>
      <w:r w:rsidRPr="00212EA8">
        <w:tab/>
        <w:t>Der Mangel an aufgeschlüsselten Daten über Flüchtlingskinder mit Behinderungen und Kinder mit Behinderungen in flüchtlingsähnlichen Situationen, sehr unterschiedliche Bedingungen in Aufnahmeeinrichtungen, die oft nicht auf die Bedürfnisse von Kindern mit Behinderungen zugeschnitten sind, und der scheinbar unterschiedliche Zugang zu Bildung, Gesundheitsversorgung sowie Kultur- und Freizeitaktivitäten.</w:t>
      </w:r>
    </w:p>
    <w:p w14:paraId="7C4405EA" w14:textId="77777777" w:rsidR="00296E8D" w:rsidRPr="00212EA8" w:rsidRDefault="00296E8D" w:rsidP="00296E8D">
      <w:pPr>
        <w:pStyle w:val="SingleTxtG"/>
        <w:rPr>
          <w:b/>
          <w:bCs/>
        </w:rPr>
      </w:pPr>
      <w:r w:rsidRPr="00212EA8">
        <w:t>16.</w:t>
      </w:r>
      <w:r w:rsidRPr="00212EA8">
        <w:tab/>
      </w:r>
      <w:r w:rsidRPr="00212EA8">
        <w:rPr>
          <w:b/>
          <w:bCs/>
        </w:rPr>
        <w:t>Unter Hinweis auf seine gemeinsame Erklärung mit dem Ausschuss für die Rechte des Kindes über die Rechte von Kindern mit Behinderungen empfiehlt der Ausschuss dem Vertragsstaat,</w:t>
      </w:r>
    </w:p>
    <w:p w14:paraId="58A3EEDF" w14:textId="77777777" w:rsidR="00296E8D" w:rsidRPr="00212EA8" w:rsidRDefault="00296E8D" w:rsidP="00296E8D">
      <w:pPr>
        <w:pStyle w:val="SingleTxtG"/>
        <w:rPr>
          <w:b/>
          <w:bCs/>
        </w:rPr>
      </w:pPr>
      <w:r w:rsidRPr="00212EA8">
        <w:rPr>
          <w:b/>
          <w:bCs/>
        </w:rPr>
        <w:tab/>
      </w:r>
      <w:r w:rsidRPr="00212EA8">
        <w:t>(a)</w:t>
      </w:r>
      <w:r w:rsidRPr="00212EA8">
        <w:rPr>
          <w:b/>
          <w:bCs/>
        </w:rPr>
        <w:tab/>
        <w:t>Einrichtung von Schulungsprogrammen für Einrichtungen und ihre Mitarbeiter, die das neue Gesetz zur Stärkung der Kinder- und Jugendhilfe anwenden, in Bezug auf die Bedürfnisse von Kindern mit Behinderungen, einschließlich Kindern mit geistigen und/oder psychosozialen Behinderungen;</w:t>
      </w:r>
    </w:p>
    <w:p w14:paraId="240FCD6F" w14:textId="77777777" w:rsidR="00296E8D" w:rsidRPr="00212EA8" w:rsidRDefault="00296E8D" w:rsidP="00296E8D">
      <w:pPr>
        <w:pStyle w:val="SingleTxtG"/>
        <w:rPr>
          <w:b/>
          <w:bCs/>
        </w:rPr>
      </w:pPr>
      <w:r w:rsidRPr="00212EA8">
        <w:rPr>
          <w:b/>
          <w:bCs/>
        </w:rPr>
        <w:tab/>
      </w:r>
      <w:r w:rsidRPr="00212EA8">
        <w:t>b)</w:t>
      </w:r>
      <w:r w:rsidRPr="00212EA8">
        <w:rPr>
          <w:b/>
          <w:bCs/>
        </w:rPr>
        <w:tab/>
        <w:t>Deckung der behinderungsbedingten Kosten für Betreuungsleistungen oder stationäre Behandlungen von Kindern mit Behinderungen;</w:t>
      </w:r>
    </w:p>
    <w:p w14:paraId="0D48EECC" w14:textId="6D4C273C" w:rsidR="00296E8D" w:rsidRPr="00212EA8" w:rsidRDefault="00296E8D" w:rsidP="00296E8D">
      <w:pPr>
        <w:pStyle w:val="SingleTxtG"/>
        <w:rPr>
          <w:b/>
          <w:bCs/>
        </w:rPr>
      </w:pPr>
      <w:r w:rsidRPr="00212EA8">
        <w:rPr>
          <w:b/>
          <w:bCs/>
        </w:rPr>
        <w:tab/>
      </w:r>
      <w:r w:rsidRPr="00212EA8">
        <w:t>c)</w:t>
      </w:r>
      <w:r w:rsidRPr="00212EA8">
        <w:rPr>
          <w:b/>
          <w:bCs/>
        </w:rPr>
        <w:tab/>
        <w:t>Intensivierung der Erhebung umfassender, aufgeschlüsselter Daten über Flüchtlingskinder mit Behinderungen und Kinder mit Behinderungen in flüchtlingsähnlichen Situationen, Sicherstellung, dass alle Aufnahmeeinrichtungen, in denen Kinder mit Behinderungen untergebracht sind, deren Anforderungen erfüllen, und Gewährleistung des Zugangs zu Bildung, Gesundheitsversorgung sowie Kultur- und Freizeitaktivitäten für alle Flüchtlingskinder mit Behinderungen und Kinder mit Behinderungen in flüchtlingsähnlichen Situationen.</w:t>
      </w:r>
    </w:p>
    <w:p w14:paraId="41FDC8EC" w14:textId="77777777" w:rsidR="00296E8D" w:rsidRPr="00212EA8" w:rsidRDefault="00296E8D" w:rsidP="00296E8D">
      <w:pPr>
        <w:pStyle w:val="H23G"/>
      </w:pPr>
      <w:r w:rsidRPr="00212EA8">
        <w:tab/>
      </w:r>
      <w:r w:rsidRPr="00212EA8">
        <w:tab/>
        <w:t>Sensibilisierung (Art. 8)</w:t>
      </w:r>
    </w:p>
    <w:p w14:paraId="4011E425" w14:textId="77777777" w:rsidR="00296E8D" w:rsidRPr="00212EA8" w:rsidRDefault="00296E8D" w:rsidP="00296E8D">
      <w:pPr>
        <w:pStyle w:val="SingleTxtG"/>
      </w:pPr>
      <w:r w:rsidRPr="00212EA8">
        <w:t>17.</w:t>
      </w:r>
      <w:r w:rsidRPr="00212EA8">
        <w:tab/>
        <w:t>Der Ausschuss ist besorgt über</w:t>
      </w:r>
    </w:p>
    <w:p w14:paraId="096A3430" w14:textId="77777777" w:rsidR="00296E8D" w:rsidRPr="00212EA8" w:rsidRDefault="00296E8D" w:rsidP="00296E8D">
      <w:pPr>
        <w:pStyle w:val="SingleTxtG"/>
      </w:pPr>
      <w:r w:rsidRPr="00212EA8">
        <w:tab/>
        <w:t>(a)</w:t>
      </w:r>
      <w:r w:rsidRPr="00212EA8">
        <w:tab/>
        <w:t>das Fehlen einer umfassenden nationalen Strategie für Sensibilisierungsmaßnahmen und -kampagnen zur Förderung der Achtung der Rechte und der Würde von Menschen mit Behinderungen und zur Förderung eines nachhaltigen und systemischen Einstellungswandels;</w:t>
      </w:r>
    </w:p>
    <w:p w14:paraId="4A60D99F" w14:textId="77777777" w:rsidR="00296E8D" w:rsidRPr="00212EA8" w:rsidRDefault="00296E8D" w:rsidP="00296E8D">
      <w:pPr>
        <w:pStyle w:val="SingleTxtG"/>
      </w:pPr>
      <w:r w:rsidRPr="00212EA8">
        <w:tab/>
        <w:t>b)</w:t>
      </w:r>
      <w:r w:rsidRPr="00212EA8">
        <w:tab/>
        <w:t xml:space="preserve">Die Ungenauigkeiten in der amtlichen deutschen Übersetzung des Übereinkommens, die zu inhaltlichen Fehlinterpretationen führen. </w:t>
      </w:r>
    </w:p>
    <w:p w14:paraId="00898DD8" w14:textId="77777777" w:rsidR="00296E8D" w:rsidRPr="00212EA8" w:rsidRDefault="00296E8D" w:rsidP="00296E8D">
      <w:pPr>
        <w:pStyle w:val="SingleTxtG"/>
        <w:keepNext/>
      </w:pPr>
      <w:r w:rsidRPr="00212EA8">
        <w:t>18.</w:t>
      </w:r>
      <w:r w:rsidRPr="00212EA8">
        <w:tab/>
      </w:r>
      <w:r w:rsidRPr="00212EA8">
        <w:rPr>
          <w:b/>
        </w:rPr>
        <w:t>Der Ausschuss empfiehlt dem Vertragsstaat,</w:t>
      </w:r>
    </w:p>
    <w:p w14:paraId="38134C38" w14:textId="77777777" w:rsidR="00296E8D" w:rsidRPr="00212EA8" w:rsidRDefault="00296E8D" w:rsidP="00296E8D">
      <w:pPr>
        <w:pStyle w:val="SingleTxtG"/>
        <w:rPr>
          <w:b/>
        </w:rPr>
      </w:pPr>
      <w:r w:rsidRPr="00212EA8">
        <w:rPr>
          <w:b/>
        </w:rPr>
        <w:tab/>
      </w:r>
      <w:r w:rsidRPr="00212EA8">
        <w:rPr>
          <w:bCs/>
        </w:rPr>
        <w:t>(a)</w:t>
      </w:r>
      <w:r w:rsidRPr="00212EA8">
        <w:rPr>
          <w:b/>
        </w:rPr>
        <w:tab/>
        <w:t xml:space="preserve">Verabschiedung und Finanzierung einer umfassenden nationalen Strategie zur Sensibilisierung der gesamten Gesellschaft, insbesondere bei Menschen mit Behinderungen und ihren Familien, Berufsgruppen, Medien und Regierungsbeamten auf allen Ebenen, für die Rechte und die Würde von Menschen mit Behinderungen, um Stereotypen, Vorurteile und schädliche Praktiken in allen </w:t>
      </w:r>
      <w:r w:rsidRPr="00212EA8">
        <w:rPr>
          <w:b/>
        </w:rPr>
        <w:lastRenderedPageBreak/>
        <w:t>Lebensbereichen zu bekämpfen und einen dauerhaften und systemischen Einstellungswandel voranzutreiben;</w:t>
      </w:r>
    </w:p>
    <w:p w14:paraId="575FD563" w14:textId="77777777" w:rsidR="00296E8D" w:rsidRPr="00212EA8" w:rsidRDefault="00296E8D" w:rsidP="00296E8D">
      <w:pPr>
        <w:pStyle w:val="SingleTxtG"/>
        <w:rPr>
          <w:b/>
        </w:rPr>
      </w:pPr>
      <w:r w:rsidRPr="00212EA8">
        <w:rPr>
          <w:b/>
        </w:rPr>
        <w:tab/>
      </w:r>
      <w:r w:rsidRPr="00212EA8">
        <w:rPr>
          <w:bCs/>
        </w:rPr>
        <w:t>b)</w:t>
      </w:r>
      <w:r w:rsidRPr="00212EA8">
        <w:rPr>
          <w:b/>
        </w:rPr>
        <w:tab/>
        <w:t>Überarbeitung der amtlichen deutschen Übersetzung des Übereinkommens in enger Abstimmung mit und unter aktiver Beteiligung von Organisationen von Menschen mit Behinderungen, um</w:t>
      </w:r>
      <w:r w:rsidRPr="00212EA8">
        <w:rPr>
          <w:b/>
          <w:bCs/>
        </w:rPr>
        <w:t xml:space="preserve"> seine Bedeutung in allen Aspekten</w:t>
      </w:r>
      <w:r w:rsidRPr="00212EA8">
        <w:rPr>
          <w:b/>
        </w:rPr>
        <w:t>.</w:t>
      </w:r>
    </w:p>
    <w:p w14:paraId="128A227D" w14:textId="77777777" w:rsidR="00296E8D" w:rsidRPr="00212EA8" w:rsidRDefault="00296E8D" w:rsidP="00296E8D">
      <w:pPr>
        <w:pStyle w:val="H23G"/>
      </w:pPr>
      <w:r w:rsidRPr="00212EA8">
        <w:tab/>
      </w:r>
      <w:r w:rsidRPr="00212EA8">
        <w:tab/>
        <w:t xml:space="preserve">Zugänglichkeit (Art. 9) </w:t>
      </w:r>
    </w:p>
    <w:p w14:paraId="5859E1FC" w14:textId="77777777" w:rsidR="00296E8D" w:rsidRPr="00212EA8" w:rsidRDefault="00296E8D" w:rsidP="00296E8D">
      <w:pPr>
        <w:pStyle w:val="SingleTxtG"/>
      </w:pPr>
      <w:r w:rsidRPr="00212EA8">
        <w:t>19.</w:t>
      </w:r>
      <w:r w:rsidRPr="00212EA8">
        <w:tab/>
        <w:t xml:space="preserve">Der Ausschuss ist besorgt über </w:t>
      </w:r>
    </w:p>
    <w:p w14:paraId="0B3F72D1" w14:textId="77777777" w:rsidR="00296E8D" w:rsidRPr="00212EA8" w:rsidRDefault="00296E8D" w:rsidP="00296E8D">
      <w:pPr>
        <w:pStyle w:val="SingleTxtG"/>
      </w:pPr>
      <w:r w:rsidRPr="00212EA8">
        <w:tab/>
        <w:t>(a)</w:t>
      </w:r>
      <w:r w:rsidRPr="00212EA8">
        <w:tab/>
        <w:t>Die enge Umsetzung des europäischen Rechtsakts zur Barrierefreiheit, die sich auf die zwingenden Verpflichtungen beschränkt und wichtige Bereiche wie Gesundheitsdienste, Bildungsgüter und -dienstleistungen, Haushaltsgeräte und die bebaute Umwelt auslässt, und die damit verbundene weitverbreitete Unzugänglichkeit von Dienstleistungen, die von öffentlichen und privaten Einrichtungen erbracht werden, einschließlich der in Artikel 2 des Gesetzes aufgeführten Dienstleistungen;</w:t>
      </w:r>
    </w:p>
    <w:p w14:paraId="1C246F7B" w14:textId="77777777" w:rsidR="00296E8D" w:rsidRPr="00212EA8" w:rsidRDefault="00296E8D" w:rsidP="00296E8D">
      <w:pPr>
        <w:pStyle w:val="SingleTxtG"/>
      </w:pPr>
      <w:r w:rsidRPr="00212EA8">
        <w:tab/>
        <w:t>b)</w:t>
      </w:r>
      <w:r w:rsidRPr="00212EA8">
        <w:tab/>
        <w:t>das unzureichende Angebot an bezahlbarem, barrierefreiem Wohnraum im Vertragsstaat und die oft unzureichenden Baustandards der Länder;</w:t>
      </w:r>
    </w:p>
    <w:p w14:paraId="3CD573F6" w14:textId="77777777" w:rsidR="00296E8D" w:rsidRPr="00212EA8" w:rsidRDefault="00296E8D" w:rsidP="00296E8D">
      <w:pPr>
        <w:pStyle w:val="SingleTxtG"/>
      </w:pPr>
      <w:r w:rsidRPr="00212EA8">
        <w:tab/>
        <w:t>c)</w:t>
      </w:r>
      <w:r w:rsidRPr="00212EA8">
        <w:tab/>
        <w:t>die weit verbreitete mangelnde Zugänglichkeit öffentlicher Verkehrsmittel;</w:t>
      </w:r>
    </w:p>
    <w:p w14:paraId="63CE79A2" w14:textId="77777777" w:rsidR="00296E8D" w:rsidRPr="00212EA8" w:rsidRDefault="00296E8D" w:rsidP="00296E8D">
      <w:pPr>
        <w:pStyle w:val="SingleTxtG"/>
      </w:pPr>
      <w:r w:rsidRPr="00212EA8">
        <w:tab/>
        <w:t>d)</w:t>
      </w:r>
      <w:r w:rsidRPr="00212EA8">
        <w:tab/>
        <w:t>Das Fehlen institutionalisierter Mechanismen für die Beteiligung von Organisationen von Menschen mit Behinderungen an der Entwicklung von Barrierefreiheitsstandards.</w:t>
      </w:r>
    </w:p>
    <w:p w14:paraId="031D30D2" w14:textId="77777777" w:rsidR="00296E8D" w:rsidRPr="00212EA8" w:rsidRDefault="00296E8D" w:rsidP="00296E8D">
      <w:pPr>
        <w:pStyle w:val="SingleTxtG"/>
      </w:pPr>
      <w:r w:rsidRPr="00212EA8">
        <w:t>20.</w:t>
      </w:r>
      <w:r w:rsidRPr="00212EA8">
        <w:tab/>
      </w:r>
      <w:r w:rsidRPr="00212EA8">
        <w:rPr>
          <w:b/>
        </w:rPr>
        <w:t>Unter Hinweis auf seine Allgemeine Bemerkung Nr. 2 (2014) und unter Bezugnahme auf die Zusagen im Koalitionsvertrag von 2021 empfiehlt der Ausschuss dem Vertragsstaat,</w:t>
      </w:r>
    </w:p>
    <w:p w14:paraId="11E68A29" w14:textId="77777777" w:rsidR="00296E8D" w:rsidRPr="00212EA8" w:rsidRDefault="00296E8D" w:rsidP="00296E8D">
      <w:pPr>
        <w:pStyle w:val="SingleTxtG"/>
        <w:rPr>
          <w:b/>
        </w:rPr>
      </w:pPr>
      <w:r w:rsidRPr="00212EA8">
        <w:rPr>
          <w:b/>
        </w:rPr>
        <w:tab/>
      </w:r>
      <w:r w:rsidRPr="00212EA8">
        <w:rPr>
          <w:bCs/>
        </w:rPr>
        <w:t>(a)</w:t>
      </w:r>
      <w:r w:rsidRPr="00212EA8">
        <w:rPr>
          <w:b/>
        </w:rPr>
        <w:tab/>
        <w:t xml:space="preserve">Änderung der Rechtsvorschriften auf Bundes- und Landesebene, um alle öffentlich zugänglichen Dienstleistungen öffentlicher und privater Einrichtungen zugänglich zu machen und die Umsetzung der bestehenden Vorschriften zur Barrierefreiheit zu intensivieren; </w:t>
      </w:r>
    </w:p>
    <w:p w14:paraId="544EFE45" w14:textId="77777777" w:rsidR="00296E8D" w:rsidRPr="00212EA8" w:rsidRDefault="00296E8D" w:rsidP="00296E8D">
      <w:pPr>
        <w:pStyle w:val="SingleTxtG"/>
        <w:rPr>
          <w:b/>
        </w:rPr>
      </w:pPr>
      <w:r w:rsidRPr="00212EA8">
        <w:rPr>
          <w:b/>
        </w:rPr>
        <w:tab/>
      </w:r>
      <w:r w:rsidRPr="00212EA8">
        <w:rPr>
          <w:bCs/>
        </w:rPr>
        <w:t>b)</w:t>
      </w:r>
      <w:r w:rsidRPr="00212EA8">
        <w:rPr>
          <w:b/>
        </w:rPr>
        <w:tab/>
        <w:t>Erweiterung und Verschärfung der gesetzlichen Anforderungen an barrierefreien Wohnraum für den öffentlichen und privaten Gebrauch, für neue und bestehende Gebäude, die den Bau neuer Wohnungen erlauben, die nur unter eng definierten außergewöhnlichen Umständen unzugänglich sind, rechtsverbindliche zeitgebundene Ziele für Gebäude, die sich im Eigentum öffentlicher Einrichtungen befinden oder von öffentlichen Einrichtungen genutzt werden, und bestehende Barrierefreiheitsnormen wie die DIN 18040-3 gesetzlich zu verankern.</w:t>
      </w:r>
    </w:p>
    <w:p w14:paraId="757D7075" w14:textId="77777777" w:rsidR="00296E8D" w:rsidRPr="00212EA8" w:rsidRDefault="00296E8D" w:rsidP="00296E8D">
      <w:pPr>
        <w:pStyle w:val="SingleTxtG"/>
      </w:pPr>
      <w:r w:rsidRPr="00212EA8">
        <w:rPr>
          <w:b/>
        </w:rPr>
        <w:tab/>
      </w:r>
      <w:r w:rsidRPr="00212EA8">
        <w:rPr>
          <w:bCs/>
        </w:rPr>
        <w:t>c)</w:t>
      </w:r>
      <w:r w:rsidRPr="00212EA8">
        <w:rPr>
          <w:b/>
        </w:rPr>
        <w:tab/>
        <w:t>Verabschiedung und Umsetzung von Rechtsvorschriften, die die autonome Nutzung öffentlicher Verkehrsmittel durch Menschen mit Behinderungen gewährleisten, insbesondere durch folgende Maßnahmen:</w:t>
      </w:r>
    </w:p>
    <w:p w14:paraId="68503F13" w14:textId="5CE7DC0E" w:rsidR="00296E8D" w:rsidRPr="00212EA8" w:rsidRDefault="00296E8D" w:rsidP="005720BD">
      <w:pPr>
        <w:pStyle w:val="SingleTxtG"/>
        <w:ind w:left="1701"/>
        <w:rPr>
          <w:b/>
          <w:bCs/>
        </w:rPr>
      </w:pPr>
      <w:r w:rsidRPr="00212EA8">
        <w:t>i)</w:t>
      </w:r>
      <w:r w:rsidRPr="00212EA8">
        <w:rPr>
          <w:b/>
          <w:bCs/>
        </w:rPr>
        <w:tab/>
        <w:t>die bevorstehende Überarbeitung der Verordnung (EU) Nr. 1300/2014 der Kommission über die technischen Spezifikationen für die Interoperabilität in Bezug auf die Zugänglichkeit des Eisenbahnsystems der Union für Menschen mit Behinderungen und Personen mit eingeschränkter Mobilität zügig und mit einem klaren Plan und Zeitrahmen umzusetzen und, falls die bevorstehende überarbeitete Verordnung den autonomen Zugang zu Bahnhöfen und Eisenbahndiensten nicht gewährleisten sollte,  Verabschiedung und Umsetzung nationaler Vorschriften zu diesem Zweck;</w:t>
      </w:r>
    </w:p>
    <w:p w14:paraId="69909E6E" w14:textId="45F1EBD0" w:rsidR="00296E8D" w:rsidRPr="00212EA8" w:rsidRDefault="00296E8D" w:rsidP="005720BD">
      <w:pPr>
        <w:pStyle w:val="SingleTxtG"/>
        <w:ind w:left="1701"/>
        <w:rPr>
          <w:b/>
          <w:bCs/>
        </w:rPr>
      </w:pPr>
      <w:r w:rsidRPr="00212EA8">
        <w:t>(ii)</w:t>
      </w:r>
      <w:r w:rsidRPr="00212EA8">
        <w:rPr>
          <w:b/>
          <w:bCs/>
        </w:rPr>
        <w:tab/>
        <w:t>Festlegung und Umsetzung spezifischer Indikatoren, Zielvorgaben und Überwachungsmechanismen für die bevorstehende Überarbeitung der Verordnung (EU) Nr. 1315/2013 des Europäischen Parlaments und des Rates über Leitlinien der Union für den Aufbau eines transeuropäischen Verkehrsnetzes, um die autonome Zugänglichkeit der jeweiligen neuen Infrastruktur zu gewährleisten;</w:t>
      </w:r>
    </w:p>
    <w:p w14:paraId="6C1ADCB1" w14:textId="6CF06586" w:rsidR="00296E8D" w:rsidRPr="00212EA8" w:rsidRDefault="00296E8D" w:rsidP="005720BD">
      <w:pPr>
        <w:pStyle w:val="SingleTxtG"/>
        <w:ind w:left="1701"/>
        <w:rPr>
          <w:b/>
          <w:bCs/>
        </w:rPr>
      </w:pPr>
      <w:r w:rsidRPr="00212EA8">
        <w:lastRenderedPageBreak/>
        <w:t>iii)</w:t>
      </w:r>
      <w:r w:rsidRPr="00212EA8">
        <w:rPr>
          <w:b/>
          <w:bCs/>
        </w:rPr>
        <w:tab/>
        <w:t>die bestehenden Anforderungen an die Zugänglichkeit von Nahverkehrsdiensten, Bussen, Reisebussen, Seilbahnen und Personenschifffahrtsdiensten zügig und mit einem klaren Plan umzusetzen und Anforderungen für die autonome Nutzung des öffentlichen Verkehrs in diesen Gebieten zu erlassen und umzusetzen;</w:t>
      </w:r>
    </w:p>
    <w:p w14:paraId="5D91605E" w14:textId="5D73B326" w:rsidR="00296E8D" w:rsidRPr="00212EA8" w:rsidRDefault="00296E8D" w:rsidP="005720BD">
      <w:pPr>
        <w:pStyle w:val="SingleTxtG"/>
        <w:ind w:left="1701"/>
        <w:rPr>
          <w:b/>
          <w:bCs/>
        </w:rPr>
      </w:pPr>
      <w:r w:rsidRPr="00212EA8">
        <w:t>iv)</w:t>
      </w:r>
      <w:r w:rsidRPr="00212EA8">
        <w:rPr>
          <w:b/>
          <w:bCs/>
        </w:rPr>
        <w:tab/>
        <w:t>Sollte die bevorstehende Überarbeitung der Verordnung (EG) Nr. 1107/2006 des Europäischen Parlaments und des Rates über die Rechte von Menschen mit Behinderungen und eingeschränkter Mobilität bei Flugreisen nicht die folgenden Garantien, Durchführungsbestimmungen enthalten, die die Verweigerung der Beförderung aufgrund einer Behinderung und das Erfordernis einer Begleitperson verbieten,  und die Gewährleistung einer vollständigen Entschädigung für beschädigte oder verlorene Mobilitätshilfen oder Schäden an Assistenztieren;</w:t>
      </w:r>
    </w:p>
    <w:p w14:paraId="2D2AEFE9" w14:textId="77777777" w:rsidR="00296E8D" w:rsidRPr="00212EA8" w:rsidRDefault="00296E8D" w:rsidP="00296E8D">
      <w:pPr>
        <w:pStyle w:val="SingleTxtG"/>
        <w:rPr>
          <w:b/>
        </w:rPr>
      </w:pPr>
      <w:r w:rsidRPr="00212EA8">
        <w:rPr>
          <w:b/>
          <w:bCs/>
        </w:rPr>
        <w:tab/>
      </w:r>
      <w:r w:rsidRPr="00212EA8">
        <w:t>d)</w:t>
      </w:r>
      <w:r w:rsidRPr="00212EA8">
        <w:rPr>
          <w:b/>
          <w:bCs/>
        </w:rPr>
        <w:tab/>
        <w:t>Gründend</w:t>
      </w:r>
      <w:r w:rsidRPr="00212EA8">
        <w:rPr>
          <w:b/>
        </w:rPr>
        <w:t xml:space="preserve"> institutionalisierte Mechanismen für eine enge Konsultation und aktive Einbeziehung von Menschen mit Behinderungen durch ihre Organisationen in die Prozesse zur Entwicklung von Barrierefreiheitsstandards.</w:t>
      </w:r>
    </w:p>
    <w:p w14:paraId="6342777D" w14:textId="77777777" w:rsidR="00296E8D" w:rsidRPr="00212EA8" w:rsidRDefault="00296E8D" w:rsidP="00296E8D">
      <w:pPr>
        <w:pStyle w:val="H23G"/>
      </w:pPr>
      <w:r w:rsidRPr="00212EA8">
        <w:tab/>
      </w:r>
      <w:r w:rsidRPr="00212EA8">
        <w:tab/>
        <w:t>Recht auf Leben (Art. 10)</w:t>
      </w:r>
    </w:p>
    <w:p w14:paraId="07EED8F2" w14:textId="77777777" w:rsidR="00296E8D" w:rsidRPr="00212EA8" w:rsidRDefault="00296E8D" w:rsidP="00296E8D">
      <w:pPr>
        <w:pStyle w:val="SingleTxtG"/>
      </w:pPr>
      <w:r w:rsidRPr="00212EA8">
        <w:t>21.</w:t>
      </w:r>
      <w:r w:rsidRPr="00212EA8">
        <w:tab/>
        <w:t xml:space="preserve">Der Ausschuss nimmt mit Genugtuung zur Kenntnis, dass der Vertragsstaat ein Bundesgesetz erlassen hat, das Triage-Entscheidungen in Situationen unzureichender medizinischer Fähigkeiten regelt und dass diese Regeln jede direkte und indirekte Diskriminierung aufgrund einer Behinderung verbieten. Der Ausschuss befürchtet jedoch, dass das im Gesetz festgelegte Triage-Kriterium der "tatsächlichen oder kurzfristigen Überlebenswahrscheinlichkeit" Menschen mit Behinderungen trotz des gesetzlichen Verbots einer solchen Diskriminierung indirekt diskriminieren könnte. </w:t>
      </w:r>
    </w:p>
    <w:p w14:paraId="710569EB" w14:textId="77777777" w:rsidR="00296E8D" w:rsidRPr="00212EA8" w:rsidRDefault="00296E8D" w:rsidP="00296E8D">
      <w:pPr>
        <w:pStyle w:val="SingleTxtG"/>
        <w:rPr>
          <w:b/>
          <w:bCs/>
        </w:rPr>
      </w:pPr>
      <w:r w:rsidRPr="00212EA8">
        <w:t>22.</w:t>
      </w:r>
      <w:r w:rsidRPr="00212EA8">
        <w:rPr>
          <w:b/>
          <w:bCs/>
        </w:rPr>
        <w:tab/>
        <w:t>Der Ausschuss empfiehlt, dass der Vertragsstaat das neue Bundesgesetz über Triage-Entscheidungen in Situationen unzureichender medizinischer Kapazitäten überprüft und ein Triage-Kriterium erlässt, das jede direkte oder indirekte Diskriminierung von Menschen mit Behinderungen wirksam verhindert.</w:t>
      </w:r>
    </w:p>
    <w:p w14:paraId="77BD4A70" w14:textId="77777777" w:rsidR="00296E8D" w:rsidRPr="00212EA8" w:rsidRDefault="00296E8D" w:rsidP="00296E8D">
      <w:pPr>
        <w:pStyle w:val="H23G"/>
      </w:pPr>
      <w:r w:rsidRPr="00212EA8">
        <w:tab/>
      </w:r>
      <w:r w:rsidRPr="00212EA8">
        <w:tab/>
        <w:t>Risikosituationen und humanitäre Notlagen (Art. 11)</w:t>
      </w:r>
    </w:p>
    <w:p w14:paraId="33DDA472" w14:textId="77777777" w:rsidR="00296E8D" w:rsidRPr="00212EA8" w:rsidRDefault="00296E8D" w:rsidP="00296E8D">
      <w:pPr>
        <w:pStyle w:val="SingleTxtG"/>
      </w:pPr>
      <w:r w:rsidRPr="00212EA8">
        <w:t>23.</w:t>
      </w:r>
      <w:r w:rsidRPr="00212EA8">
        <w:tab/>
        <w:t xml:space="preserve">Der Ausschuss ist besorgt über Folgendes: </w:t>
      </w:r>
    </w:p>
    <w:p w14:paraId="58FA89B2" w14:textId="77777777" w:rsidR="00296E8D" w:rsidRPr="00212EA8" w:rsidRDefault="00296E8D" w:rsidP="00296E8D">
      <w:pPr>
        <w:pStyle w:val="SingleTxtG"/>
      </w:pPr>
      <w:r w:rsidRPr="00212EA8">
        <w:tab/>
        <w:t>(a)</w:t>
      </w:r>
      <w:r w:rsidRPr="00212EA8">
        <w:tab/>
        <w:t>das Fehlen einer engen Konsultation und aktiven Beteiligung von Menschen mit Behinderungen durch ihre Vertretungsorganisationen an der Katastrophenvorsorge und humanitären Maßnahmen, einschließlich der Planung von Maßnahmen zur Eindämmung der Coronavirus-Pandemie (COVID-19), was zu nachteiligen Auswirkungen auf Menschen mit Behinderungen führte;</w:t>
      </w:r>
    </w:p>
    <w:p w14:paraId="1E815B2A" w14:textId="77777777" w:rsidR="00296E8D" w:rsidRPr="00212EA8" w:rsidRDefault="00296E8D" w:rsidP="00296E8D">
      <w:pPr>
        <w:pStyle w:val="SingleTxtG"/>
      </w:pPr>
      <w:r w:rsidRPr="00212EA8">
        <w:tab/>
        <w:t>b)</w:t>
      </w:r>
      <w:r w:rsidRPr="00212EA8">
        <w:tab/>
        <w:t xml:space="preserve">Das Fehlen einer übergreifenden, Menschen mit Behinderungen einbeziehenden, menschenrechtsbasierten Strategie für Katastrophenvorsorge und humanitäre Maßnahmen, die im Einklang mit der </w:t>
      </w:r>
      <w:r w:rsidRPr="00212EA8">
        <w:rPr>
          <w:rFonts w:eastAsia="Times New Roman" w:cstheme="minorHAnsi"/>
        </w:rPr>
        <w:t xml:space="preserve">Sendai-Rahmenwerk für Katastrophenvorsorge 2015–2030 </w:t>
      </w:r>
      <w:r w:rsidRPr="00212EA8">
        <w:t xml:space="preserve">und die Leitlinien für die Inklusion von Menschen mit Behinderungen in der humanitären Hilfe. </w:t>
      </w:r>
    </w:p>
    <w:p w14:paraId="63932A81" w14:textId="3D0D522B" w:rsidR="00296E8D" w:rsidRPr="00212EA8" w:rsidRDefault="00296E8D" w:rsidP="00296E8D">
      <w:pPr>
        <w:pStyle w:val="SingleTxtG"/>
        <w:rPr>
          <w:b/>
          <w:bCs/>
        </w:rPr>
      </w:pPr>
      <w:r w:rsidRPr="00212EA8">
        <w:t>24.</w:t>
      </w:r>
      <w:r w:rsidRPr="00212EA8">
        <w:rPr>
          <w:b/>
          <w:bCs/>
        </w:rPr>
        <w:tab/>
        <w:t xml:space="preserve">unter Hinweis auf die </w:t>
      </w:r>
      <w:r w:rsidRPr="00212EA8">
        <w:rPr>
          <w:rFonts w:eastAsia="Times New Roman" w:cstheme="minorHAnsi"/>
          <w:b/>
          <w:bCs/>
        </w:rPr>
        <w:t xml:space="preserve">Sendai-Rahmenwerk für Katastrophenvorsorge 2015–2030 </w:t>
      </w:r>
      <w:r w:rsidRPr="00212EA8">
        <w:rPr>
          <w:b/>
          <w:bCs/>
        </w:rPr>
        <w:t>und den Leitlinien für die Einbeziehung von Menschen mit Behinderungen in die humanitäre Hilfe empfiehlt der Ausschuss, dass der Vertragsstaat in enger Abstimmung mit und unter aktiver Beteiligung von Menschen mit Behinderungen durch ihre Vertretungsorganisationen Folgendes entwickelt:</w:t>
      </w:r>
    </w:p>
    <w:p w14:paraId="1FD2854F" w14:textId="77777777" w:rsidR="00296E8D" w:rsidRPr="00212EA8" w:rsidRDefault="00296E8D" w:rsidP="00296E8D">
      <w:pPr>
        <w:pStyle w:val="SingleTxtG"/>
        <w:rPr>
          <w:b/>
          <w:bCs/>
        </w:rPr>
      </w:pPr>
      <w:r w:rsidRPr="00212EA8">
        <w:rPr>
          <w:b/>
          <w:bCs/>
        </w:rPr>
        <w:tab/>
      </w:r>
      <w:r w:rsidRPr="00212EA8">
        <w:t>(a)</w:t>
      </w:r>
      <w:r w:rsidRPr="00212EA8">
        <w:rPr>
          <w:b/>
          <w:bCs/>
        </w:rPr>
        <w:tab/>
        <w:t>ein nationaler öffentlicher Notfallplan, der auf die spezifischen Anforderungen und Reaktionen von Menschen mit Behinderungen eingeht und auf allen Ebenen von Bund, Ländern und Kommunen gilt;</w:t>
      </w:r>
    </w:p>
    <w:p w14:paraId="6A50F77F" w14:textId="77777777" w:rsidR="00296E8D" w:rsidRPr="00212EA8" w:rsidRDefault="00296E8D" w:rsidP="00296E8D">
      <w:pPr>
        <w:pStyle w:val="SingleTxtG"/>
      </w:pPr>
      <w:r w:rsidRPr="00212EA8">
        <w:rPr>
          <w:b/>
          <w:bCs/>
        </w:rPr>
        <w:tab/>
      </w:r>
      <w:r w:rsidRPr="00212EA8">
        <w:t>b)</w:t>
      </w:r>
      <w:r w:rsidRPr="00212EA8">
        <w:rPr>
          <w:b/>
          <w:bCs/>
        </w:rPr>
        <w:tab/>
        <w:t>Eine übergreifende, behindertengerechte, menschenrechtsbasierte Strategie für alle Risikosituationen und humanitären Notlagen, einschließlich Notlagen im Bereich der öffentlichen Gesundheit, des Klimawandels und der Katastrophenvorsorge.</w:t>
      </w:r>
    </w:p>
    <w:p w14:paraId="3F33AE22" w14:textId="77777777" w:rsidR="00296E8D" w:rsidRPr="00212EA8" w:rsidRDefault="00296E8D" w:rsidP="00296E8D">
      <w:pPr>
        <w:pStyle w:val="H23G"/>
      </w:pPr>
      <w:r w:rsidRPr="00212EA8">
        <w:lastRenderedPageBreak/>
        <w:tab/>
      </w:r>
      <w:r w:rsidRPr="00212EA8">
        <w:tab/>
        <w:t>Gleiche Anerkennung vor dem Gesetz (Art. 12)</w:t>
      </w:r>
    </w:p>
    <w:p w14:paraId="3CAC36E1" w14:textId="77777777" w:rsidR="00296E8D" w:rsidRPr="00212EA8" w:rsidRDefault="00296E8D" w:rsidP="00296E8D">
      <w:pPr>
        <w:pStyle w:val="SingleTxtG"/>
      </w:pPr>
      <w:r w:rsidRPr="00212EA8">
        <w:t>25.</w:t>
      </w:r>
      <w:r w:rsidRPr="00212EA8">
        <w:tab/>
        <w:t>Der Ausschuss ist besorgt darüber, dass:</w:t>
      </w:r>
    </w:p>
    <w:p w14:paraId="35C21820" w14:textId="77777777" w:rsidR="00296E8D" w:rsidRPr="00212EA8" w:rsidRDefault="00296E8D" w:rsidP="00296E8D">
      <w:pPr>
        <w:pStyle w:val="SingleTxtG"/>
      </w:pPr>
      <w:r w:rsidRPr="00212EA8">
        <w:tab/>
        <w:t>(a)</w:t>
      </w:r>
      <w:r w:rsidRPr="00212EA8">
        <w:tab/>
        <w:t>Das Gesetz zur Reform des Vormundschaftsrechts für Kinder und Erwachsene 2021 beseitigt nicht alle Formen der Ersatzentscheidung;</w:t>
      </w:r>
    </w:p>
    <w:p w14:paraId="72245AEA" w14:textId="77777777" w:rsidR="00296E8D" w:rsidRPr="00212EA8" w:rsidRDefault="00296E8D" w:rsidP="00296E8D">
      <w:pPr>
        <w:pStyle w:val="SingleTxtG"/>
      </w:pPr>
      <w:r w:rsidRPr="00212EA8">
        <w:tab/>
        <w:t>b)</w:t>
      </w:r>
      <w:r w:rsidRPr="00212EA8">
        <w:tab/>
        <w:t>Es gibt keine nationale umfassende Strategie für die Implementierung unterstützter Entscheidungsfindungsmechanismen.</w:t>
      </w:r>
    </w:p>
    <w:p w14:paraId="77C0B44C" w14:textId="77777777" w:rsidR="00296E8D" w:rsidRPr="00212EA8" w:rsidRDefault="00296E8D" w:rsidP="00296E8D">
      <w:pPr>
        <w:pStyle w:val="SingleTxtG"/>
        <w:rPr>
          <w:b/>
          <w:bCs/>
        </w:rPr>
      </w:pPr>
      <w:r w:rsidRPr="00212EA8">
        <w:t>26.</w:t>
      </w:r>
      <w:r w:rsidRPr="00212EA8">
        <w:rPr>
          <w:b/>
          <w:bCs/>
        </w:rPr>
        <w:tab/>
        <w:t xml:space="preserve">Unter Hinweis auf seine allgemeine Bemerkung Nr. 1 (2014) empfiehlt der Ausschuss dem Vertragsstaat, </w:t>
      </w:r>
    </w:p>
    <w:p w14:paraId="36D1BA07" w14:textId="77777777" w:rsidR="00296E8D" w:rsidRPr="00212EA8" w:rsidRDefault="00296E8D" w:rsidP="00296E8D">
      <w:pPr>
        <w:pStyle w:val="SingleTxtG"/>
        <w:rPr>
          <w:b/>
          <w:bCs/>
        </w:rPr>
      </w:pPr>
      <w:r w:rsidRPr="00212EA8">
        <w:rPr>
          <w:b/>
          <w:bCs/>
        </w:rPr>
        <w:tab/>
      </w:r>
      <w:r w:rsidRPr="00212EA8">
        <w:t>(a)</w:t>
      </w:r>
      <w:r w:rsidRPr="00212EA8">
        <w:rPr>
          <w:b/>
          <w:bCs/>
        </w:rPr>
        <w:tab/>
        <w:t xml:space="preserve">Abschaffung aller Formen der Ersatzbeschlussfassung und Ersetzung durch ein System der unterstützten Entscheidungsfindung; </w:t>
      </w:r>
    </w:p>
    <w:p w14:paraId="26DA601B" w14:textId="77777777" w:rsidR="00296E8D" w:rsidRPr="00212EA8" w:rsidRDefault="00296E8D" w:rsidP="00296E8D">
      <w:pPr>
        <w:pStyle w:val="SingleTxtG"/>
        <w:rPr>
          <w:b/>
          <w:bCs/>
        </w:rPr>
      </w:pPr>
      <w:r w:rsidRPr="00212EA8">
        <w:rPr>
          <w:b/>
          <w:bCs/>
        </w:rPr>
        <w:tab/>
      </w:r>
      <w:r w:rsidRPr="00212EA8">
        <w:t>b)</w:t>
      </w:r>
      <w:r w:rsidRPr="00212EA8">
        <w:rPr>
          <w:b/>
          <w:bCs/>
        </w:rPr>
        <w:tab/>
        <w:t>Entwicklung einer nationalen Gesamtstrategie für die Umsetzung unterstützter Entscheidungsmechanismen in enger Abstimmung mit und unter aktiver Beteiligung von Menschen mit Behinderungen, über ihre Vertretungsorganisationen und über alle Ebenen von Bund, Ländern und Kommunen hinweg.</w:t>
      </w:r>
    </w:p>
    <w:p w14:paraId="22A5C32D" w14:textId="77777777" w:rsidR="00296E8D" w:rsidRPr="00212EA8" w:rsidRDefault="00296E8D" w:rsidP="00296E8D">
      <w:pPr>
        <w:pStyle w:val="H23G"/>
      </w:pPr>
      <w:r w:rsidRPr="00212EA8">
        <w:tab/>
      </w:r>
      <w:r w:rsidRPr="00212EA8">
        <w:tab/>
        <w:t>Zugang zu Gerichten (Art. 13)</w:t>
      </w:r>
    </w:p>
    <w:p w14:paraId="4C3D673E" w14:textId="012B1D64" w:rsidR="00296E8D" w:rsidRPr="00212EA8" w:rsidRDefault="00296E8D" w:rsidP="00296E8D">
      <w:pPr>
        <w:pStyle w:val="SingleTxtG"/>
      </w:pPr>
      <w:r w:rsidRPr="00E16B0C">
        <w:t>27.</w:t>
      </w:r>
      <w:r w:rsidRPr="00E16B0C">
        <w:tab/>
        <w:t xml:space="preserve">Der Ausschuss ist besorgt über die Hindernisse für den Zugang zur Justiz für Menschen mit Behinderungen, darunter: </w:t>
      </w:r>
    </w:p>
    <w:p w14:paraId="6AAEA3D1" w14:textId="77777777" w:rsidR="00296E8D" w:rsidRPr="00212EA8" w:rsidRDefault="00296E8D" w:rsidP="00296E8D">
      <w:pPr>
        <w:pStyle w:val="SingleTxtG"/>
      </w:pPr>
      <w:r w:rsidRPr="00212EA8">
        <w:tab/>
        <w:t>(a)</w:t>
      </w:r>
      <w:r w:rsidRPr="00212EA8">
        <w:tab/>
        <w:t xml:space="preserve">das Fehlen verfahrens- und altersgerechter Vorkehrungen innerhalb des Justizsektors und die Kosten, die Menschen mit Behinderungen durch die Bereitstellung eigener Vorkehrungen und Unterstützung entstehen, um eine wirksame Teilnahme an Gerichtsverfahren zu erleichtern; </w:t>
      </w:r>
    </w:p>
    <w:p w14:paraId="48CF7127" w14:textId="77777777" w:rsidR="00296E8D" w:rsidRPr="00212EA8" w:rsidRDefault="00296E8D" w:rsidP="00296E8D">
      <w:pPr>
        <w:pStyle w:val="SingleTxtG"/>
      </w:pPr>
      <w:r w:rsidRPr="00212EA8">
        <w:tab/>
        <w:t>b)</w:t>
      </w:r>
      <w:r w:rsidRPr="00212EA8">
        <w:tab/>
        <w:t xml:space="preserve">das mangelnde Verständnis der Angehörigen der Rechtsberufe für den Zugang zur Justiz für Menschen mit Behinderungen; </w:t>
      </w:r>
    </w:p>
    <w:p w14:paraId="5934B20B" w14:textId="77777777" w:rsidR="00296E8D" w:rsidRPr="00212EA8" w:rsidRDefault="00296E8D" w:rsidP="00296E8D">
      <w:pPr>
        <w:pStyle w:val="SingleTxtG"/>
      </w:pPr>
      <w:r w:rsidRPr="00212EA8">
        <w:tab/>
        <w:t>c)</w:t>
      </w:r>
      <w:r w:rsidRPr="00212EA8">
        <w:tab/>
        <w:t xml:space="preserve">Der Mangel an zugänglichen Justizeinrichtungen sowie Informationen und Kommunikation. </w:t>
      </w:r>
    </w:p>
    <w:p w14:paraId="559F37C5" w14:textId="77777777" w:rsidR="00296E8D" w:rsidRPr="00212EA8" w:rsidRDefault="00296E8D" w:rsidP="00296E8D">
      <w:pPr>
        <w:pStyle w:val="SingleTxtG"/>
        <w:rPr>
          <w:b/>
          <w:bCs/>
        </w:rPr>
      </w:pPr>
      <w:r w:rsidRPr="00212EA8">
        <w:t>28.</w:t>
      </w:r>
      <w:r w:rsidRPr="00212EA8">
        <w:rPr>
          <w:b/>
          <w:bCs/>
        </w:rPr>
        <w:tab/>
        <w:t>Der Ausschuss empfiehlt, dass der Vertragsstaat in enger Abstimmung mit und unter aktiver Beteiligung von Organisationen von Menschen mit Behinderungen eine nationale Strategie für die Justiz von Menschen mit Behinderungen entwickelt:</w:t>
      </w:r>
    </w:p>
    <w:p w14:paraId="582B705C" w14:textId="77777777" w:rsidR="00296E8D" w:rsidRPr="00212EA8" w:rsidRDefault="00296E8D" w:rsidP="00296E8D">
      <w:pPr>
        <w:pStyle w:val="SingleTxtG"/>
        <w:rPr>
          <w:b/>
          <w:bCs/>
        </w:rPr>
      </w:pPr>
      <w:r w:rsidRPr="00212EA8">
        <w:rPr>
          <w:b/>
          <w:bCs/>
        </w:rPr>
        <w:tab/>
      </w:r>
      <w:r w:rsidRPr="00212EA8">
        <w:t>(a)</w:t>
      </w:r>
      <w:r w:rsidRPr="00212EA8">
        <w:rPr>
          <w:b/>
          <w:bCs/>
        </w:rPr>
        <w:tab/>
        <w:t xml:space="preserve">Änderung der Verfahrensvorschriften im Straf-, Zivil-, Arbeits- und Verwaltungsrecht, um sicherzustellen, dass Menschen mit Behinderungen in allen Verfahren unentgeltlich verfahrensrechtliche und altersgerechte Vorkehrungen getroffen werden; </w:t>
      </w:r>
    </w:p>
    <w:p w14:paraId="15825390" w14:textId="040350D8" w:rsidR="00296E8D" w:rsidRPr="00212EA8" w:rsidRDefault="00296E8D" w:rsidP="00296E8D">
      <w:pPr>
        <w:pStyle w:val="SingleTxtG"/>
        <w:rPr>
          <w:b/>
          <w:bCs/>
        </w:rPr>
      </w:pPr>
      <w:r w:rsidRPr="00212EA8">
        <w:rPr>
          <w:b/>
          <w:bCs/>
        </w:rPr>
        <w:tab/>
      </w:r>
      <w:r w:rsidRPr="00212EA8">
        <w:t>b)</w:t>
      </w:r>
      <w:r w:rsidRPr="00212EA8">
        <w:rPr>
          <w:b/>
          <w:bCs/>
        </w:rPr>
        <w:tab/>
        <w:t>Gewährleistung einer angemessenen Schulung der im Bereich der Rechtspflege tätigen Personen, einschließlich der Angehörigen der Justiz, der Polizeibeamten und des Strafvollzugspersonals, in Bezug auf die Normen und Grundsätze des Übereinkommens zur Gewährleistung des Zugangs zur Justiz;</w:t>
      </w:r>
    </w:p>
    <w:p w14:paraId="43CC827F" w14:textId="77777777" w:rsidR="00296E8D" w:rsidRPr="00212EA8" w:rsidRDefault="00296E8D" w:rsidP="00296E8D">
      <w:pPr>
        <w:pStyle w:val="SingleTxtG"/>
        <w:rPr>
          <w:b/>
          <w:bCs/>
        </w:rPr>
      </w:pPr>
      <w:r w:rsidRPr="00212EA8">
        <w:rPr>
          <w:b/>
          <w:bCs/>
        </w:rPr>
        <w:tab/>
      </w:r>
      <w:r w:rsidRPr="00212EA8">
        <w:t>c)</w:t>
      </w:r>
      <w:r w:rsidRPr="00212EA8">
        <w:tab/>
      </w:r>
      <w:r w:rsidRPr="00212EA8">
        <w:rPr>
          <w:b/>
          <w:bCs/>
        </w:rPr>
        <w:t xml:space="preserve">Es soll sichergestellt werden, dass justizielle Einrichtungen sowie Informationen und Kommunikation zugänglich sind. </w:t>
      </w:r>
    </w:p>
    <w:p w14:paraId="17B70B0B" w14:textId="77777777" w:rsidR="00296E8D" w:rsidRPr="00212EA8" w:rsidRDefault="00296E8D" w:rsidP="00296E8D">
      <w:pPr>
        <w:pStyle w:val="H23G"/>
      </w:pPr>
      <w:r w:rsidRPr="00212EA8">
        <w:tab/>
      </w:r>
      <w:r w:rsidRPr="00212EA8">
        <w:tab/>
        <w:t>Freiheit und Sicherheit der Person (Art. 14)</w:t>
      </w:r>
    </w:p>
    <w:p w14:paraId="642F74B8" w14:textId="77777777" w:rsidR="00296E8D" w:rsidRPr="00212EA8" w:rsidRDefault="00296E8D" w:rsidP="00296E8D">
      <w:pPr>
        <w:pStyle w:val="SingleTxtG"/>
      </w:pPr>
      <w:r w:rsidRPr="00212EA8">
        <w:t>29.</w:t>
      </w:r>
      <w:r w:rsidRPr="00212EA8">
        <w:tab/>
        <w:t>Der Ausschuss ist zutiefst besorgt:</w:t>
      </w:r>
    </w:p>
    <w:p w14:paraId="0B9D9AE0" w14:textId="77777777" w:rsidR="00296E8D" w:rsidRPr="00212EA8" w:rsidRDefault="00296E8D" w:rsidP="00296E8D">
      <w:pPr>
        <w:pStyle w:val="SingleTxtG"/>
      </w:pPr>
      <w:r w:rsidRPr="00212EA8">
        <w:tab/>
        <w:t>(a)</w:t>
      </w:r>
      <w:r w:rsidRPr="00212EA8">
        <w:tab/>
        <w:t>über die Zwangsunterbringung und Zwangsbehandlung von Menschen mit Behinderungen aufgrund von Beeinträchtigungen in Pflege- und Eingliederungshilfeeinrichtungen und anderen Einrichtungen, psychiatrischen Einrichtungen und forensisch-psychiatrischen Einrichtungen;</w:t>
      </w:r>
    </w:p>
    <w:p w14:paraId="384B49A9" w14:textId="77777777" w:rsidR="00296E8D" w:rsidRPr="00212EA8" w:rsidRDefault="00296E8D" w:rsidP="00296E8D">
      <w:pPr>
        <w:pStyle w:val="SingleTxtG"/>
      </w:pPr>
      <w:r w:rsidRPr="00212EA8">
        <w:tab/>
        <w:t>b)</w:t>
      </w:r>
      <w:r w:rsidRPr="00212EA8">
        <w:tab/>
        <w:t xml:space="preserve">Dass Kindern und Jugendlichen mit Behinderungen aufgrund therapeutischer Notwendigkeit die Freiheit entzogen werden kann. </w:t>
      </w:r>
    </w:p>
    <w:p w14:paraId="3B559A68" w14:textId="77777777" w:rsidR="00296E8D" w:rsidRPr="00212EA8" w:rsidRDefault="00296E8D" w:rsidP="00296E8D">
      <w:pPr>
        <w:pStyle w:val="SingleTxtG"/>
        <w:rPr>
          <w:b/>
          <w:bCs/>
        </w:rPr>
      </w:pPr>
      <w:r w:rsidRPr="00212EA8">
        <w:lastRenderedPageBreak/>
        <w:t>30.</w:t>
      </w:r>
      <w:r w:rsidRPr="00212EA8">
        <w:rPr>
          <w:b/>
          <w:bCs/>
        </w:rPr>
        <w:tab/>
        <w:t>unter Hinweis auf seine Leitlinien zum Recht auf Freiheit und Sicherheit von Menschen mit Behinderungen,</w:t>
      </w:r>
      <w:r w:rsidRPr="00F972B6">
        <w:rPr>
          <w:rStyle w:val="Funotenzeichen"/>
        </w:rPr>
        <w:footnoteReference w:id="9"/>
      </w:r>
      <w:r w:rsidRPr="00212EA8">
        <w:rPr>
          <w:b/>
          <w:bCs/>
        </w:rPr>
        <w:t xml:space="preserve"> und ihre Leitlinien zur Deinstitutionalisierung, auch in Notfällen,</w:t>
      </w:r>
      <w:r w:rsidRPr="00F972B6">
        <w:rPr>
          <w:rStyle w:val="Funotenzeichen"/>
        </w:rPr>
        <w:footnoteReference w:id="10"/>
      </w:r>
      <w:r w:rsidRPr="00212EA8">
        <w:rPr>
          <w:b/>
          <w:bCs/>
        </w:rPr>
        <w:t xml:space="preserve"> Der Ausschuss empfiehlt, dass der Vertragsstaat alle erforderlichen gesetzgeberischen, administrativen und gerichtlichen Maßnahmen ergreift:</w:t>
      </w:r>
    </w:p>
    <w:p w14:paraId="5E116298" w14:textId="77777777" w:rsidR="00296E8D" w:rsidRPr="00212EA8" w:rsidRDefault="00296E8D" w:rsidP="00296E8D">
      <w:pPr>
        <w:pStyle w:val="SingleTxtG"/>
        <w:rPr>
          <w:b/>
          <w:bCs/>
        </w:rPr>
      </w:pPr>
      <w:r w:rsidRPr="00212EA8">
        <w:rPr>
          <w:b/>
          <w:bCs/>
        </w:rPr>
        <w:tab/>
      </w:r>
      <w:r w:rsidRPr="00212EA8">
        <w:t>(a)</w:t>
      </w:r>
      <w:r w:rsidRPr="00212EA8">
        <w:rPr>
          <w:b/>
          <w:bCs/>
        </w:rPr>
        <w:tab/>
        <w:t>Verbot der unfreiwilligen Inhaftierung, Zwangsunterbringung und Zwangsbehandlung von Menschen mit Behinderungen aufgrund von Beeinträchtigungen;</w:t>
      </w:r>
    </w:p>
    <w:p w14:paraId="5C0040C0" w14:textId="6ABF9394" w:rsidR="00296E8D" w:rsidRPr="00212EA8" w:rsidRDefault="00296E8D" w:rsidP="00296E8D">
      <w:pPr>
        <w:pStyle w:val="SingleTxtG"/>
        <w:rPr>
          <w:b/>
          <w:bCs/>
        </w:rPr>
      </w:pPr>
      <w:r w:rsidRPr="00212EA8">
        <w:rPr>
          <w:b/>
          <w:bCs/>
        </w:rPr>
        <w:tab/>
      </w:r>
      <w:r w:rsidRPr="00212EA8">
        <w:t>b)</w:t>
      </w:r>
      <w:r w:rsidRPr="00212EA8">
        <w:rPr>
          <w:b/>
          <w:bCs/>
        </w:rPr>
        <w:tab/>
        <w:t xml:space="preserve">Stärkung des gesamten gerichtlichen und administrativen Rechtsschutzes, um den Freiheitsentzug von Kindern und Jugendlichen mit Behinderungen gleichberechtigt mit anderen zu verhindern. </w:t>
      </w:r>
    </w:p>
    <w:p w14:paraId="10C0F64C" w14:textId="7AC06FBA" w:rsidR="00296E8D" w:rsidRPr="00212EA8" w:rsidRDefault="00296E8D" w:rsidP="00296E8D">
      <w:pPr>
        <w:pStyle w:val="SingleTxtG"/>
      </w:pPr>
      <w:r w:rsidRPr="00212EA8">
        <w:t>31.</w:t>
      </w:r>
      <w:r w:rsidRPr="00212EA8">
        <w:tab/>
        <w:t>Der Ausschuss ist besorgt über die Bestimmungen über die "Prozessunfähigkeit", die die unbefristete Inhaftierung von Menschen mit Behinderungen in forensisch-psychiatrischen Einrichtungen ermöglichen.</w:t>
      </w:r>
    </w:p>
    <w:p w14:paraId="55B56E57" w14:textId="77777777" w:rsidR="00296E8D" w:rsidRPr="00212EA8" w:rsidRDefault="00296E8D" w:rsidP="00296E8D">
      <w:pPr>
        <w:pStyle w:val="SingleTxtG"/>
        <w:rPr>
          <w:b/>
          <w:bCs/>
        </w:rPr>
      </w:pPr>
      <w:r w:rsidRPr="00212EA8">
        <w:t>32.</w:t>
      </w:r>
      <w:r w:rsidRPr="00212EA8">
        <w:rPr>
          <w:b/>
          <w:bCs/>
        </w:rPr>
        <w:tab/>
        <w:t>Der Ausschuss empfiehlt, dass der Vertragsstaat Rechtsvorschriften ändert und/oder aufhebt, die die Rechtsfähigkeit von Menschen mit Behinderungen einschränken und härtere Maßnahmen, wie z. B. unbefristete Inhaftierung, gegen Menschen mit Behinderungen zulassen als gegen Menschen ohne Behinderungen, die wegen derselben Straftaten verurteilt wurden, und dass der Vertragsstaat den gleichberechtigten Zugang von Menschen mit Behinderungen zur Justiz während des gesamten Gerichtsverfahrens garantiert.</w:t>
      </w:r>
    </w:p>
    <w:p w14:paraId="2C56EA4E" w14:textId="4B6015E5" w:rsidR="00296E8D" w:rsidRPr="00212EA8" w:rsidRDefault="00296E8D" w:rsidP="00296E8D">
      <w:pPr>
        <w:pStyle w:val="H23G"/>
      </w:pPr>
      <w:r w:rsidRPr="00212EA8">
        <w:tab/>
      </w:r>
      <w:r w:rsidRPr="00212EA8">
        <w:tab/>
        <w:t>Freiheit von Folter oder grausamer, unmenschlicher oder erniedrigender Behandlung oder Strafe (Art.15)</w:t>
      </w:r>
    </w:p>
    <w:p w14:paraId="1D677EFD" w14:textId="77777777" w:rsidR="00296E8D" w:rsidRPr="00212EA8" w:rsidRDefault="00296E8D" w:rsidP="00296E8D">
      <w:pPr>
        <w:pStyle w:val="SingleTxtG"/>
      </w:pPr>
      <w:r w:rsidRPr="00212EA8">
        <w:t>33.</w:t>
      </w:r>
      <w:r w:rsidRPr="00212EA8">
        <w:tab/>
        <w:t>Der Ausschuss ist besorgt über</w:t>
      </w:r>
    </w:p>
    <w:p w14:paraId="267F82C8" w14:textId="77777777" w:rsidR="00296E8D" w:rsidRPr="00212EA8" w:rsidRDefault="00296E8D" w:rsidP="00296E8D">
      <w:pPr>
        <w:pStyle w:val="SingleTxtG"/>
      </w:pPr>
      <w:r w:rsidRPr="00212EA8">
        <w:tab/>
        <w:t>(a)</w:t>
      </w:r>
      <w:r w:rsidRPr="00212EA8">
        <w:tab/>
        <w:t>die Anwendung physischer und chemischer Fesseln, Absonderung und anderer schädlicher Praktiken, insbesondere in Pflege- und Eingliederungshilfeeinrichtungen und anderen Einrichtungen, psychiatrischen Einrichtungen und forensisch-psychiatrischen Pflegeeinrichtungen;</w:t>
      </w:r>
    </w:p>
    <w:p w14:paraId="04C90874" w14:textId="575CC8DC" w:rsidR="00296E8D" w:rsidRPr="00212EA8" w:rsidRDefault="00296E8D" w:rsidP="00296E8D">
      <w:pPr>
        <w:pStyle w:val="SingleTxtG"/>
      </w:pPr>
      <w:r w:rsidRPr="00212EA8">
        <w:tab/>
        <w:t>b)</w:t>
      </w:r>
      <w:r w:rsidRPr="00212EA8">
        <w:tab/>
        <w:t>die mangelnde Aufsicht und Überwachung von Pflege- und Eingliederungshilfeeinrichtungen und anderen Einrichtungen, psychiatrischen Einrichtungen und forensisch-psychiatrischen Einrichtungen sowie die Anwendung von Fesseln, Absonderung und anderen schädlichen Praktiken;</w:t>
      </w:r>
    </w:p>
    <w:p w14:paraId="2F55FCCB" w14:textId="77777777" w:rsidR="00296E8D" w:rsidRPr="00212EA8" w:rsidRDefault="00296E8D" w:rsidP="00296E8D">
      <w:pPr>
        <w:pStyle w:val="SingleTxtG"/>
      </w:pPr>
      <w:r w:rsidRPr="00212EA8">
        <w:tab/>
        <w:t>c)</w:t>
      </w:r>
      <w:r w:rsidRPr="00212EA8">
        <w:tab/>
        <w:t xml:space="preserve">Das Fehlen unabhängiger Beschwerde- und Rechtsbehelfsmechanismen, um gegen schädliche und erzwungene Praktiken vorzugehen, die in Pflege- und Eingliederungshilfeeinrichtungen und anderen Einrichtungen, psychiatrischen Einrichtungen und forensisch-psychiatrischen Einrichtungen begangen werden. </w:t>
      </w:r>
    </w:p>
    <w:p w14:paraId="10CFC97F" w14:textId="77777777" w:rsidR="00296E8D" w:rsidRPr="00212EA8" w:rsidRDefault="00296E8D" w:rsidP="00296E8D">
      <w:pPr>
        <w:pStyle w:val="SingleTxtG"/>
        <w:rPr>
          <w:b/>
          <w:bCs/>
        </w:rPr>
      </w:pPr>
      <w:r w:rsidRPr="00212EA8">
        <w:t>34.</w:t>
      </w:r>
      <w:r w:rsidRPr="00212EA8">
        <w:rPr>
          <w:b/>
          <w:bCs/>
        </w:rPr>
        <w:tab/>
        <w:t>Der Ausschuss empfiehlt, dass der Vertragsstaat alle erforderlichen gesetzgeberischen, administrativen und gerichtlichen Maßnahmen ergreift:</w:t>
      </w:r>
    </w:p>
    <w:p w14:paraId="0E71C722" w14:textId="77777777" w:rsidR="00296E8D" w:rsidRPr="00212EA8" w:rsidRDefault="00296E8D" w:rsidP="00296E8D">
      <w:pPr>
        <w:pStyle w:val="SingleTxtG"/>
        <w:rPr>
          <w:b/>
          <w:bCs/>
        </w:rPr>
      </w:pPr>
      <w:r w:rsidRPr="00212EA8">
        <w:rPr>
          <w:b/>
          <w:bCs/>
        </w:rPr>
        <w:tab/>
      </w:r>
      <w:r w:rsidRPr="00212EA8">
        <w:t>(a)</w:t>
      </w:r>
      <w:r w:rsidRPr="00212EA8">
        <w:rPr>
          <w:b/>
          <w:bCs/>
        </w:rPr>
        <w:tab/>
        <w:t xml:space="preserve">Verbot der Anwendung von physischen und chemischen Beschränkungen, Abschottung und anderen schädlichen Praktiken in allen institutionellen Einrichtungen; </w:t>
      </w:r>
    </w:p>
    <w:p w14:paraId="3DF12D75" w14:textId="77777777" w:rsidR="00296E8D" w:rsidRPr="00212EA8" w:rsidRDefault="00296E8D" w:rsidP="00296E8D">
      <w:pPr>
        <w:pStyle w:val="SingleTxtG"/>
        <w:rPr>
          <w:b/>
          <w:bCs/>
        </w:rPr>
      </w:pPr>
      <w:r w:rsidRPr="00212EA8">
        <w:rPr>
          <w:b/>
          <w:bCs/>
        </w:rPr>
        <w:tab/>
      </w:r>
      <w:r w:rsidRPr="00212EA8">
        <w:t>b)</w:t>
      </w:r>
      <w:r w:rsidRPr="00212EA8">
        <w:rPr>
          <w:b/>
          <w:bCs/>
        </w:rPr>
        <w:tab/>
        <w:t xml:space="preserve">in allen Bundesländern unabhängige Kontrollgremien einzurichten, die eine regelmäßige Aufsicht über alle institutionellen Einrichtungen gewährleisten und Daten über die Anwendung von Zwangsbehandlungen und Zwangspraktiken erheben und analysieren, und die bestehenden Überwachungsmechanismen, einschließlich der Nationalen Agentur zur Verhütung von Folter und des Deutschen Instituts für Menschenrechte, angemessen auszustatten, um ihre Mandate zu stärken; </w:t>
      </w:r>
    </w:p>
    <w:p w14:paraId="6869ADA1" w14:textId="77777777" w:rsidR="00296E8D" w:rsidRPr="00212EA8" w:rsidRDefault="00296E8D" w:rsidP="00296E8D">
      <w:pPr>
        <w:pStyle w:val="SingleTxtG"/>
        <w:rPr>
          <w:b/>
          <w:bCs/>
        </w:rPr>
      </w:pPr>
      <w:r w:rsidRPr="00212EA8">
        <w:rPr>
          <w:b/>
          <w:bCs/>
        </w:rPr>
        <w:tab/>
      </w:r>
      <w:r w:rsidRPr="00212EA8">
        <w:t>c)</w:t>
      </w:r>
      <w:r w:rsidRPr="00212EA8">
        <w:rPr>
          <w:b/>
          <w:bCs/>
        </w:rPr>
        <w:tab/>
        <w:t xml:space="preserve">Einrichtung eines unabhängigen Beschwerdemechanismus, der allen Menschen mit Behinderungen in allen Bereichen zugänglich ist, um Beschwerden entgegenzunehmen und zu untersuchen und Institutionen und Täter schädlicher und erzwungener Praktiken zu sanktionieren und die Opfer durch Rechtsberatung, </w:t>
      </w:r>
      <w:r w:rsidRPr="00212EA8">
        <w:rPr>
          <w:b/>
          <w:bCs/>
        </w:rPr>
        <w:lastRenderedPageBreak/>
        <w:t>zugängliche Informationen, Beratung und Wiedergutmachung, einschließlich Entschädigung und Rehabilitation, zu unterstützen.</w:t>
      </w:r>
    </w:p>
    <w:p w14:paraId="3936E84F" w14:textId="77777777" w:rsidR="00296E8D" w:rsidRPr="00212EA8" w:rsidRDefault="00296E8D" w:rsidP="00296E8D">
      <w:pPr>
        <w:pStyle w:val="H23G"/>
      </w:pPr>
      <w:r w:rsidRPr="00212EA8">
        <w:tab/>
      </w:r>
      <w:r w:rsidRPr="00212EA8">
        <w:tab/>
        <w:t>Freiheit von Ausbeutung, Gewalt und Missbrauch (Art. 16)</w:t>
      </w:r>
    </w:p>
    <w:p w14:paraId="0A7AEAFB" w14:textId="77777777" w:rsidR="00296E8D" w:rsidRPr="00212EA8" w:rsidRDefault="00296E8D" w:rsidP="00296E8D">
      <w:pPr>
        <w:pStyle w:val="SingleTxtG"/>
      </w:pPr>
      <w:r w:rsidRPr="00212EA8">
        <w:t>35.</w:t>
      </w:r>
      <w:r w:rsidRPr="00212EA8">
        <w:tab/>
        <w:t>Der Ausschuss ist zutiefst besorgt über</w:t>
      </w:r>
    </w:p>
    <w:p w14:paraId="28954F37" w14:textId="77777777" w:rsidR="00296E8D" w:rsidRPr="00212EA8" w:rsidRDefault="00296E8D" w:rsidP="00296E8D">
      <w:pPr>
        <w:pStyle w:val="SingleTxtG"/>
      </w:pPr>
      <w:r w:rsidRPr="00212EA8">
        <w:tab/>
        <w:t>(a)</w:t>
      </w:r>
      <w:r w:rsidRPr="00212EA8">
        <w:tab/>
        <w:t>die hohen Raten aller Formen von Gewalt gegen Menschen mit Behinderungen, insbesondere gegen Frauen und Mädchen mit Behinderungen, und das Fehlen einer umfassenden und wirksamen Strategie zur Gewaltprävention und -reaktion zum Schutz vor Gewalt in allen öffentlichen und privaten Bereichen;</w:t>
      </w:r>
    </w:p>
    <w:p w14:paraId="030CB505" w14:textId="77777777" w:rsidR="00296E8D" w:rsidRPr="00212EA8" w:rsidRDefault="00296E8D" w:rsidP="00296E8D">
      <w:pPr>
        <w:pStyle w:val="SingleTxtG"/>
      </w:pPr>
      <w:r w:rsidRPr="00212EA8">
        <w:tab/>
        <w:t>b)</w:t>
      </w:r>
      <w:r w:rsidRPr="00212EA8">
        <w:tab/>
        <w:t>Das Fehlen des Geltungsbereichs des Gewaltschutzgesetzes, um alle Formen von Gewalt zu erfassen, die Menschen mit Behinderungen, insbesondere Frauen und Mädchen mit Behinderungen, in allen institutionellen Einrichtungen erleben.</w:t>
      </w:r>
    </w:p>
    <w:p w14:paraId="19893199" w14:textId="77777777" w:rsidR="00296E8D" w:rsidRPr="00212EA8" w:rsidRDefault="00296E8D" w:rsidP="00296E8D">
      <w:pPr>
        <w:pStyle w:val="SingleTxtG"/>
        <w:rPr>
          <w:b/>
          <w:bCs/>
        </w:rPr>
      </w:pPr>
      <w:r w:rsidRPr="00212EA8">
        <w:t>36.</w:t>
      </w:r>
      <w:r w:rsidRPr="00212EA8">
        <w:rPr>
          <w:b/>
          <w:bCs/>
        </w:rPr>
        <w:tab/>
        <w:t xml:space="preserve">Der Ausschuss empfiehlt, dass der Vertragsstaat in enger Abstimmung mit und unter aktiver Beteiligung von Organisationen von Menschen mit Behinderungen, insbesondere von Organisationen von Frauen und Mädchen mit Behinderungen, </w:t>
      </w:r>
    </w:p>
    <w:p w14:paraId="3F407794" w14:textId="77777777" w:rsidR="00296E8D" w:rsidRPr="00212EA8" w:rsidRDefault="00296E8D" w:rsidP="00296E8D">
      <w:pPr>
        <w:pStyle w:val="SingleTxtG"/>
        <w:rPr>
          <w:b/>
          <w:bCs/>
        </w:rPr>
      </w:pPr>
      <w:r w:rsidRPr="00212EA8">
        <w:rPr>
          <w:b/>
          <w:bCs/>
        </w:rPr>
        <w:tab/>
      </w:r>
      <w:r w:rsidRPr="00212EA8">
        <w:t>(a)</w:t>
      </w:r>
      <w:r w:rsidRPr="00212EA8">
        <w:rPr>
          <w:b/>
          <w:bCs/>
        </w:rPr>
        <w:tab/>
        <w:t xml:space="preserve">Entwicklung einer umfassenden und wirksamen Strategie zur Gewaltprävention und -reaktion im Einklang mit dem Übereinkommen des Europarats zur Verhütung und Bekämpfung von Gewalt gegen Frauen und häuslicher Gewalt, die geschlechts- und altersspezifischen Anforderungen Rechnung trägt, sicherstellt, dass alle Frauenhäuser, Zufluchtsorte und Beratungsstellen zugänglich und allgemein verfügbar sind, und unabhängige Überwachungsstellen mit Beschwerde- und Rechtsbehelfsmechanismen einrichtet; </w:t>
      </w:r>
    </w:p>
    <w:p w14:paraId="27382DB4" w14:textId="77777777" w:rsidR="00296E8D" w:rsidRPr="00212EA8" w:rsidRDefault="00296E8D" w:rsidP="00296E8D">
      <w:pPr>
        <w:pStyle w:val="SingleTxtG"/>
        <w:rPr>
          <w:b/>
          <w:bCs/>
        </w:rPr>
      </w:pPr>
      <w:r w:rsidRPr="00212EA8">
        <w:rPr>
          <w:b/>
          <w:bCs/>
        </w:rPr>
        <w:tab/>
      </w:r>
      <w:r w:rsidRPr="00212EA8">
        <w:t>b)</w:t>
      </w:r>
      <w:r w:rsidRPr="00212EA8">
        <w:rPr>
          <w:b/>
          <w:bCs/>
        </w:rPr>
        <w:tab/>
        <w:t>Durchführung von Gesetzes- und Politikreformen, um den Schutz vor allen Formen von Gewalt und Missbrauch zu gewährleisten, denen Menschen mit Behinderungen, insbesondere Frauen und Mädchen mit Behinderungen, die noch in Heimen leben, ausgesetzt sind.</w:t>
      </w:r>
    </w:p>
    <w:p w14:paraId="313E0A10" w14:textId="77777777" w:rsidR="00296E8D" w:rsidRPr="00212EA8" w:rsidRDefault="00296E8D" w:rsidP="00296E8D">
      <w:pPr>
        <w:pStyle w:val="H23G"/>
      </w:pPr>
      <w:r w:rsidRPr="00212EA8">
        <w:tab/>
      </w:r>
      <w:r w:rsidRPr="00212EA8">
        <w:tab/>
        <w:t>Schutz der Unversehrtheit der Person (Art. 17)</w:t>
      </w:r>
    </w:p>
    <w:p w14:paraId="3414E014" w14:textId="77777777" w:rsidR="00296E8D" w:rsidRPr="00212EA8" w:rsidRDefault="00296E8D" w:rsidP="00296E8D">
      <w:pPr>
        <w:pStyle w:val="SingleTxtG"/>
      </w:pPr>
      <w:r w:rsidRPr="00212EA8">
        <w:t>37.</w:t>
      </w:r>
      <w:r w:rsidRPr="00212EA8">
        <w:tab/>
        <w:t>Der Ausschuss ist besorgt über</w:t>
      </w:r>
    </w:p>
    <w:p w14:paraId="1FE5380F" w14:textId="77777777" w:rsidR="00296E8D" w:rsidRPr="00212EA8" w:rsidRDefault="00296E8D" w:rsidP="00296E8D">
      <w:pPr>
        <w:pStyle w:val="SingleTxtG"/>
      </w:pPr>
      <w:r w:rsidRPr="00212EA8">
        <w:tab/>
        <w:t>(a)</w:t>
      </w:r>
      <w:r w:rsidRPr="00212EA8">
        <w:tab/>
        <w:t>Das anhaltende Auftreten von Zwangs- und Zwangssterilisationen von Frauen und Mädchen mit Behinderungen;</w:t>
      </w:r>
    </w:p>
    <w:p w14:paraId="37A4544B" w14:textId="77777777" w:rsidR="00296E8D" w:rsidRPr="00212EA8" w:rsidRDefault="00296E8D" w:rsidP="00296E8D">
      <w:pPr>
        <w:pStyle w:val="SingleTxtG"/>
      </w:pPr>
      <w:r w:rsidRPr="00212EA8">
        <w:tab/>
        <w:t>b)</w:t>
      </w:r>
      <w:r w:rsidRPr="00212EA8">
        <w:tab/>
        <w:t>Die Praxis der erzwungenen und erzwungenen Empfängnisverhütung und die damit verbundenen schädlichen Nebenwirkungen sowie erzwungene und erzwungene Abtreibungen in institutionellen Einrichtungen.</w:t>
      </w:r>
    </w:p>
    <w:p w14:paraId="3642879B" w14:textId="77777777" w:rsidR="00296E8D" w:rsidRPr="00212EA8" w:rsidRDefault="00296E8D" w:rsidP="00296E8D">
      <w:pPr>
        <w:pStyle w:val="SingleTxtG"/>
        <w:rPr>
          <w:b/>
          <w:bCs/>
        </w:rPr>
      </w:pPr>
      <w:r w:rsidRPr="00212EA8">
        <w:t>38.</w:t>
      </w:r>
      <w:r w:rsidRPr="00212EA8">
        <w:rPr>
          <w:b/>
          <w:bCs/>
        </w:rPr>
        <w:tab/>
        <w:t>Der Ausschuss empfiehlt, dass der Vertragsstaat alle erforderlichen gesetzgeberischen, administrativen und gerichtlichen Maßnahmen ergreift:</w:t>
      </w:r>
    </w:p>
    <w:p w14:paraId="31590E4A" w14:textId="77777777" w:rsidR="00296E8D" w:rsidRPr="00212EA8" w:rsidRDefault="00296E8D" w:rsidP="00296E8D">
      <w:pPr>
        <w:pStyle w:val="SingleTxtG"/>
        <w:rPr>
          <w:b/>
          <w:bCs/>
        </w:rPr>
      </w:pPr>
      <w:r w:rsidRPr="00212EA8">
        <w:rPr>
          <w:b/>
          <w:bCs/>
        </w:rPr>
        <w:tab/>
      </w:r>
      <w:r w:rsidRPr="00212EA8">
        <w:t>(a)</w:t>
      </w:r>
      <w:r w:rsidRPr="00212EA8">
        <w:rPr>
          <w:b/>
          <w:bCs/>
        </w:rPr>
        <w:tab/>
        <w:t>die Sterilisation von Frauen und Mädchen mit Behinderungen ohne ihre freie und informierte Zustimmung zu verbieten, einschließlich der Sterilisation auf der Grundlage einer Ersatzeinwilligung oder gerichtlicher Entscheidungen;</w:t>
      </w:r>
    </w:p>
    <w:p w14:paraId="40860393" w14:textId="77777777" w:rsidR="00296E8D" w:rsidRPr="00212EA8" w:rsidRDefault="00296E8D" w:rsidP="00296E8D">
      <w:pPr>
        <w:pStyle w:val="SingleTxtG"/>
        <w:rPr>
          <w:b/>
          <w:bCs/>
        </w:rPr>
      </w:pPr>
      <w:r w:rsidRPr="00212EA8">
        <w:rPr>
          <w:b/>
          <w:bCs/>
        </w:rPr>
        <w:tab/>
      </w:r>
      <w:r w:rsidRPr="00212EA8">
        <w:t>b)</w:t>
      </w:r>
      <w:r w:rsidRPr="00212EA8">
        <w:rPr>
          <w:b/>
          <w:bCs/>
        </w:rPr>
        <w:tab/>
        <w:t>Verbot aller Formen der Empfängnisverhütung und Abtreibung ohne die freie und informierte Zustimmung der betroffenen Person, einschließlich Zwangspraktiken.</w:t>
      </w:r>
    </w:p>
    <w:p w14:paraId="7043FE4F" w14:textId="77777777" w:rsidR="00296E8D" w:rsidRPr="00212EA8" w:rsidRDefault="00296E8D" w:rsidP="00296E8D">
      <w:pPr>
        <w:pStyle w:val="SingleTxtG"/>
      </w:pPr>
      <w:r w:rsidRPr="00212EA8">
        <w:t>39.</w:t>
      </w:r>
      <w:r w:rsidRPr="00212EA8">
        <w:tab/>
        <w:t>Der Ausschuss ist besorgt darüber, dass das Gesetz zum Schutz von Kindern mit Variationen in der Geschlechtsentwicklung von 2021 keinen umfassenden Schutz für alle intersexuellen Kinder vor invasiven oder irreversiblen medizinischen Verfahren bietet, die die Geschlechtsmerkmale verändern.</w:t>
      </w:r>
    </w:p>
    <w:p w14:paraId="7B8009B7" w14:textId="77777777" w:rsidR="00296E8D" w:rsidRPr="00212EA8" w:rsidRDefault="00296E8D" w:rsidP="00296E8D">
      <w:pPr>
        <w:pStyle w:val="SingleTxtG"/>
        <w:rPr>
          <w:b/>
          <w:bCs/>
        </w:rPr>
      </w:pPr>
      <w:r w:rsidRPr="00212EA8">
        <w:t>40.</w:t>
      </w:r>
      <w:r w:rsidRPr="00212EA8">
        <w:rPr>
          <w:b/>
          <w:bCs/>
        </w:rPr>
        <w:tab/>
        <w:t xml:space="preserve">Der Ausschuss empfiehlt, dass der Vertragsstaat die repräsentativen Organisationen intersexueller Personen eng konsultiert und aktiv einbezieht, um das Gesetz zum Schutz von Kindern mit Variationen in der Geschlechtsentwicklung von 2021 zu überprüfen und zu ändern, um einen umfassenden Schutz intersexueller Kinder vor invasiven oder irreversiblen medizinischen Verfahren zu gewährleisten, die </w:t>
      </w:r>
      <w:r w:rsidRPr="00212EA8">
        <w:rPr>
          <w:b/>
          <w:bCs/>
        </w:rPr>
        <w:lastRenderedPageBreak/>
        <w:t>die Geschlechtsmerkmale verändern, es sei denn, dies ist erforderlich, um schwerwiegende,  dringenden und nicht wiedergutzumachenden Schaden.</w:t>
      </w:r>
    </w:p>
    <w:p w14:paraId="7A01BCC5" w14:textId="77777777" w:rsidR="00296E8D" w:rsidRPr="00212EA8" w:rsidRDefault="00296E8D" w:rsidP="00296E8D">
      <w:pPr>
        <w:pStyle w:val="H23G"/>
      </w:pPr>
      <w:r w:rsidRPr="00212EA8">
        <w:tab/>
      </w:r>
      <w:r w:rsidRPr="00212EA8">
        <w:tab/>
        <w:t>Freizügigkeit und Staatsangehörigkeit (Art. 18)</w:t>
      </w:r>
    </w:p>
    <w:p w14:paraId="2FB3C52F" w14:textId="77777777" w:rsidR="00296E8D" w:rsidRPr="00212EA8" w:rsidRDefault="00296E8D" w:rsidP="00296E8D">
      <w:pPr>
        <w:pStyle w:val="SingleTxtG"/>
      </w:pPr>
      <w:r w:rsidRPr="00212EA8">
        <w:t>41.</w:t>
      </w:r>
      <w:r w:rsidRPr="00212EA8">
        <w:tab/>
        <w:t>Der Ausschuss ist besorgt über</w:t>
      </w:r>
    </w:p>
    <w:p w14:paraId="1EA05A0B" w14:textId="77777777" w:rsidR="00296E8D" w:rsidRPr="00212EA8" w:rsidRDefault="00296E8D" w:rsidP="00296E8D">
      <w:pPr>
        <w:pStyle w:val="SingleTxtG"/>
      </w:pPr>
      <w:r w:rsidRPr="00212EA8">
        <w:tab/>
        <w:t>(a)</w:t>
      </w:r>
      <w:r w:rsidRPr="00212EA8">
        <w:tab/>
        <w:t>Zugang zu grundlegender Unterstützung, einschließlich behinderungsspezifischer Unterstützung, für Flüchtlinge und Asylsuchende mit Behinderungen, die vom Herkunftsland abhängig sind;</w:t>
      </w:r>
    </w:p>
    <w:p w14:paraId="08AB13CB" w14:textId="77777777" w:rsidR="00296E8D" w:rsidRPr="00212EA8" w:rsidRDefault="00296E8D" w:rsidP="00296E8D">
      <w:pPr>
        <w:pStyle w:val="SingleTxtG"/>
      </w:pPr>
      <w:r w:rsidRPr="00212EA8">
        <w:tab/>
        <w:t>b)</w:t>
      </w:r>
      <w:r w:rsidRPr="00212EA8">
        <w:tab/>
        <w:t>das Fehlen einheitlicher und angemessener Verfahren für die Identifizierung von Flüchtlingen und Asylbewerbern mit Behinderungen in allen Bundesländern, was zu einer inkohärenten und unzureichenden Umsetzung der Menschenrechtsnormen und der Richtlinie 2013/33/EG des Europäischen Parlaments und des Rates zur Festlegung von Normen für die Aufnahme von Personen, die internationalen Schutz beantragen, führt;</w:t>
      </w:r>
    </w:p>
    <w:p w14:paraId="26230447" w14:textId="77777777" w:rsidR="00296E8D" w:rsidRPr="00212EA8" w:rsidRDefault="00296E8D" w:rsidP="00296E8D">
      <w:pPr>
        <w:pStyle w:val="SingleTxtG"/>
      </w:pPr>
      <w:r w:rsidRPr="00212EA8">
        <w:tab/>
        <w:t>c)</w:t>
      </w:r>
      <w:r w:rsidRPr="00212EA8">
        <w:tab/>
        <w:t xml:space="preserve">Die Auswirkungen des Gesetzentwurfs zur Änderung des Staatsangehörigkeitsgesetzes, der Menschen mit Behinderungen, die Sozialleistungen beziehen, von der Erlangung der Staatsbürgerschaft ausschließen würde. </w:t>
      </w:r>
    </w:p>
    <w:p w14:paraId="2867CDBE" w14:textId="77777777" w:rsidR="00296E8D" w:rsidRPr="00212EA8" w:rsidRDefault="00296E8D" w:rsidP="00296E8D">
      <w:pPr>
        <w:pStyle w:val="SingleTxtG"/>
        <w:rPr>
          <w:b/>
          <w:bCs/>
        </w:rPr>
      </w:pPr>
      <w:r w:rsidRPr="00212EA8">
        <w:t>42.</w:t>
      </w:r>
      <w:r w:rsidRPr="00212EA8">
        <w:rPr>
          <w:b/>
          <w:bCs/>
        </w:rPr>
        <w:tab/>
        <w:t>Der Ausschuss empfiehlt, dass der Vertragsstaat alle gesetzgeberischen, administrativen und sonstigen Maßnahmen ergreift:</w:t>
      </w:r>
    </w:p>
    <w:p w14:paraId="314CC379" w14:textId="77777777" w:rsidR="00296E8D" w:rsidRPr="00212EA8" w:rsidRDefault="00296E8D" w:rsidP="00296E8D">
      <w:pPr>
        <w:pStyle w:val="SingleTxtG"/>
        <w:rPr>
          <w:b/>
          <w:bCs/>
        </w:rPr>
      </w:pPr>
      <w:r w:rsidRPr="00212EA8">
        <w:rPr>
          <w:b/>
          <w:bCs/>
        </w:rPr>
        <w:tab/>
      </w:r>
      <w:r w:rsidRPr="00212EA8">
        <w:t>(a)</w:t>
      </w:r>
      <w:r w:rsidRPr="00212EA8">
        <w:rPr>
          <w:b/>
          <w:bCs/>
        </w:rPr>
        <w:tab/>
        <w:t>sicherzustellen, dass allen Flüchtlingen und Asylbewerbern mit Behinderungen der Zugang zu grundlegender Unterstützung, einschließlich behinderungsspezifischer Unterstützung, ohne Diskriminierung aufgrund des Herkunftslandes zur Verfügung steht;</w:t>
      </w:r>
    </w:p>
    <w:p w14:paraId="68F3BD70" w14:textId="77777777" w:rsidR="00296E8D" w:rsidRPr="00212EA8" w:rsidRDefault="00296E8D" w:rsidP="00296E8D">
      <w:pPr>
        <w:pStyle w:val="SingleTxtG"/>
        <w:rPr>
          <w:b/>
          <w:bCs/>
        </w:rPr>
      </w:pPr>
      <w:r w:rsidRPr="00212EA8">
        <w:rPr>
          <w:b/>
          <w:bCs/>
        </w:rPr>
        <w:tab/>
      </w:r>
      <w:r w:rsidRPr="00212EA8">
        <w:t>b)</w:t>
      </w:r>
      <w:r w:rsidRPr="00212EA8">
        <w:rPr>
          <w:b/>
          <w:bCs/>
        </w:rPr>
        <w:tab/>
        <w:t>einheitliche und angemessene Verfahren in allen Bundesländern einzuführen, um die Identifizierung von Flüchtlingen und Asylsuchenden mit Behinderungen und die Bereitstellung angemessener behinderungsbezogener Unterstützung zu gewährleisten, wie dies in den Menschenrechtsnormen und der Richtlinie 2013/33/EG des Europäischen Parlaments und des Rates zur Festlegung von Normen für die Aufnahme von Personen, die internationalen Schutz beantragen, gefordert wird;</w:t>
      </w:r>
    </w:p>
    <w:p w14:paraId="69B772A3" w14:textId="77777777" w:rsidR="00296E8D" w:rsidRPr="00212EA8" w:rsidRDefault="00296E8D" w:rsidP="00296E8D">
      <w:pPr>
        <w:pStyle w:val="SingleTxtG"/>
        <w:rPr>
          <w:b/>
          <w:bCs/>
        </w:rPr>
      </w:pPr>
      <w:r w:rsidRPr="00212EA8">
        <w:rPr>
          <w:b/>
          <w:bCs/>
        </w:rPr>
        <w:tab/>
      </w:r>
      <w:r w:rsidRPr="00212EA8">
        <w:t>c)</w:t>
      </w:r>
      <w:r w:rsidRPr="00212EA8">
        <w:rPr>
          <w:b/>
          <w:bCs/>
        </w:rPr>
        <w:tab/>
        <w:t>Es soll sichergestellt werden, dass der Gesetzentwurf zur Änderung des Staatsangehörigkeitsgesetzes Menschen mit Behinderungen, die Leistungen beziehen, nicht daran hindert, die Staatsbürgerschaft zu erhalten.</w:t>
      </w:r>
    </w:p>
    <w:p w14:paraId="3DB5C835" w14:textId="77777777" w:rsidR="00296E8D" w:rsidRPr="00212EA8" w:rsidRDefault="00296E8D" w:rsidP="00296E8D">
      <w:pPr>
        <w:pStyle w:val="H23G"/>
      </w:pPr>
      <w:r w:rsidRPr="00212EA8">
        <w:tab/>
      </w:r>
      <w:r w:rsidRPr="00212EA8">
        <w:tab/>
        <w:t>Selbstständig leben und in die Gemeinschaft eingebunden sein (Art. 19)</w:t>
      </w:r>
    </w:p>
    <w:p w14:paraId="01CE6FCD" w14:textId="355C5AA3" w:rsidR="00296E8D" w:rsidRPr="00212EA8" w:rsidRDefault="00296E8D" w:rsidP="00296E8D">
      <w:pPr>
        <w:pStyle w:val="SingleTxtG"/>
      </w:pPr>
      <w:r w:rsidRPr="00212EA8">
        <w:t>43.</w:t>
      </w:r>
      <w:r w:rsidRPr="00212EA8">
        <w:tab/>
        <w:t>Der Ausschuss ist besorgt über</w:t>
      </w:r>
    </w:p>
    <w:p w14:paraId="67A3B714" w14:textId="77777777" w:rsidR="00296E8D" w:rsidRPr="00212EA8" w:rsidRDefault="00296E8D" w:rsidP="00296E8D">
      <w:pPr>
        <w:pStyle w:val="SingleTxtG"/>
      </w:pPr>
      <w:r w:rsidRPr="00212EA8">
        <w:tab/>
        <w:t>(a)</w:t>
      </w:r>
      <w:r w:rsidRPr="00212EA8">
        <w:tab/>
        <w:t>die weitgehende Segregation von Menschen mit Behinderungen in institutionellen Einrichtungen und das Fehlen von Maßnahmen zur Erzielung von Fortschritten bei der Deinstitutionalisierung;</w:t>
      </w:r>
    </w:p>
    <w:p w14:paraId="0EB36F89" w14:textId="77777777" w:rsidR="00296E8D" w:rsidRPr="00212EA8" w:rsidRDefault="00296E8D" w:rsidP="00296E8D">
      <w:pPr>
        <w:pStyle w:val="SingleTxtG"/>
      </w:pPr>
      <w:r w:rsidRPr="00212EA8">
        <w:tab/>
        <w:t>b)</w:t>
      </w:r>
      <w:r w:rsidRPr="00212EA8">
        <w:tab/>
        <w:t xml:space="preserve">Die Bandbreite der Hindernisse, die es Menschen mit Behinderungen ermöglichen, in Bezug auf ihren Wohnort und ihre Unterstützungsleistungen zu wählen und zu bevorzugen, wie z. B. zusätzliche Kostenregelungen, die erzwungene Zusammenlegung von Eingliederungsleistungen und -dienstleistungen und die Komplexität der Nutzung persönlicher Budgets und Leistungszulagen auf der Grundlage von Gemeinschaftsunterkünften und nicht auf individuellen Bedürfnissen. </w:t>
      </w:r>
    </w:p>
    <w:p w14:paraId="14CA8927" w14:textId="77777777" w:rsidR="00296E8D" w:rsidRPr="00212EA8" w:rsidRDefault="00296E8D" w:rsidP="00296E8D">
      <w:pPr>
        <w:pStyle w:val="SingleTxtG"/>
        <w:rPr>
          <w:b/>
          <w:bCs/>
        </w:rPr>
      </w:pPr>
      <w:r w:rsidRPr="00212EA8">
        <w:t>44.</w:t>
      </w:r>
      <w:r w:rsidRPr="00212EA8">
        <w:rPr>
          <w:b/>
          <w:bCs/>
        </w:rPr>
        <w:tab/>
        <w:t>unter Hinweis auf seine Allgemeine Bemerkung Nr. 5 (2017), seine Leitlinien zur Deinstitutionalisierung, auch in Notfällen, und den Bericht des Sonderberichterstatters über die Rechte von Menschen mit Behinderungen über die Umgestaltung von Dienstleistungen für Menschen mit Behinderungen,</w:t>
      </w:r>
      <w:r w:rsidRPr="00F972B6">
        <w:rPr>
          <w:rStyle w:val="Funotenzeichen"/>
        </w:rPr>
        <w:footnoteReference w:id="11"/>
      </w:r>
      <w:r w:rsidRPr="00212EA8">
        <w:rPr>
          <w:b/>
          <w:bCs/>
        </w:rPr>
        <w:t xml:space="preserve"> Der Ausschuss empfiehlt, dass der Vertragsstaat in enger Abstimmung mit und unter aktiver Beteiligung von Menschen mit Behinderungen </w:t>
      </w:r>
    </w:p>
    <w:p w14:paraId="38FC615A" w14:textId="77777777" w:rsidR="00296E8D" w:rsidRPr="00212EA8" w:rsidRDefault="00296E8D" w:rsidP="00296E8D">
      <w:pPr>
        <w:pStyle w:val="SingleTxtG"/>
        <w:rPr>
          <w:b/>
          <w:bCs/>
        </w:rPr>
      </w:pPr>
      <w:r w:rsidRPr="00212EA8">
        <w:rPr>
          <w:b/>
          <w:bCs/>
        </w:rPr>
        <w:lastRenderedPageBreak/>
        <w:tab/>
      </w:r>
      <w:r w:rsidRPr="00212EA8">
        <w:t>(a)</w:t>
      </w:r>
      <w:r w:rsidRPr="00212EA8">
        <w:rPr>
          <w:b/>
          <w:bCs/>
        </w:rPr>
        <w:tab/>
        <w:t>Entwicklung einer umfassenden Deinstitutionalisierungsstrategie, um die Institutionalisierung von Menschen mit Behinderungen, auch in kleinen Wohnheimen, vorrangig zu beenden, mit Maßnahmen zur Verhinderung der Transinstitutionalisierung und zur Unterstützung des Übergangs von den Institutionen zum Leben in der Gemeinschaft, mit spezifischen Zeitrahmen, personellen, technischen und finanziellen Ressourcen und klaren Verantwortlichkeiten für die Umsetzung und Überwachung;</w:t>
      </w:r>
    </w:p>
    <w:p w14:paraId="452F9EC6" w14:textId="43F50457" w:rsidR="00296E8D" w:rsidRPr="00212EA8" w:rsidRDefault="00296E8D" w:rsidP="00296E8D">
      <w:pPr>
        <w:pStyle w:val="SingleTxtG"/>
        <w:rPr>
          <w:b/>
          <w:bCs/>
        </w:rPr>
      </w:pPr>
      <w:r w:rsidRPr="00212EA8">
        <w:rPr>
          <w:b/>
          <w:bCs/>
        </w:rPr>
        <w:tab/>
      </w:r>
      <w:r w:rsidRPr="00212EA8">
        <w:t>b)</w:t>
      </w:r>
      <w:r w:rsidRPr="00212EA8">
        <w:rPr>
          <w:b/>
          <w:bCs/>
        </w:rPr>
        <w:tab/>
        <w:t>Entwicklung von Maßnahmen zur Beseitigung von Hindernissen für Menschen mit Behinderungen bei der Wahl, wo und mit wem sie leben, unter anderem durch die Verpflichtung, das Angebot an bezahlbarem und zugänglichem Wohnraum zu erhöhen, die Einrichtung von Unterstützungsangeboten und Dienstleistungen für persönliche Assistenz, die Beseitigung zusätzlicher Kostenanforderungen und die erzwungene Bündelung von Inklusionsleistungen und -diensten, die Verringerung der Komplexität der Nutzung persönlicher Budgets und die Stützung von Leistungszuschüssen auf der Grundlage individueller Bedürfnisse und nicht von Gemeinschaftsunterkünften.</w:t>
      </w:r>
    </w:p>
    <w:p w14:paraId="4EEAED0B" w14:textId="77777777" w:rsidR="00296E8D" w:rsidRPr="00212EA8" w:rsidRDefault="00296E8D" w:rsidP="00296E8D">
      <w:pPr>
        <w:pStyle w:val="H23G"/>
      </w:pPr>
      <w:r w:rsidRPr="00212EA8">
        <w:tab/>
      </w:r>
      <w:r w:rsidRPr="00212EA8">
        <w:tab/>
        <w:t>Persönliche Mobilität (Art. 20)</w:t>
      </w:r>
    </w:p>
    <w:p w14:paraId="2594940B" w14:textId="77777777" w:rsidR="00296E8D" w:rsidRPr="00212EA8" w:rsidRDefault="00296E8D" w:rsidP="00296E8D">
      <w:pPr>
        <w:pStyle w:val="SingleTxtG"/>
      </w:pPr>
      <w:r w:rsidRPr="00212EA8">
        <w:t>45.</w:t>
      </w:r>
      <w:r w:rsidRPr="00212EA8">
        <w:tab/>
        <w:t xml:space="preserve">Der EWSA ist besorgt über das Fehlen umfassender und einheitlicher Mechanismen in allen Bundesländern, um sicherzustellen, dass Menschen mit Behinderungen bezahlbare und hochwertige Mobilitätshilfen, -geräte, -hilfsmittel und andere Formen der Unterstützung erhalten, die auf den individuellen Bedürfnissen basieren. </w:t>
      </w:r>
    </w:p>
    <w:p w14:paraId="500023B1" w14:textId="77777777" w:rsidR="00296E8D" w:rsidRPr="00212EA8" w:rsidRDefault="00296E8D" w:rsidP="00296E8D">
      <w:pPr>
        <w:pStyle w:val="SingleTxtG"/>
        <w:rPr>
          <w:b/>
          <w:bCs/>
        </w:rPr>
      </w:pPr>
      <w:r w:rsidRPr="00212EA8">
        <w:t>46.</w:t>
      </w:r>
      <w:r w:rsidRPr="00212EA8">
        <w:rPr>
          <w:b/>
          <w:bCs/>
        </w:rPr>
        <w:tab/>
        <w:t>Der Ausschuss empfiehlt, dass der Vertragsstaat umfassende und kohärente Mechanismen in allen Bundesländern einrichtet, um die Bereitstellung erschwinglicher, hochwertiger Mobilitätshilfen, -geräte, -hilfsmittel und anderer Formen der Unterstützung auf der Grundlage der individuellen Bedürfnisse von Menschen mit Behinderungen zu erleichtern.</w:t>
      </w:r>
    </w:p>
    <w:p w14:paraId="306611E5" w14:textId="77777777" w:rsidR="00296E8D" w:rsidRPr="00212EA8" w:rsidRDefault="00296E8D" w:rsidP="00296E8D">
      <w:pPr>
        <w:pStyle w:val="H23G"/>
      </w:pPr>
      <w:r w:rsidRPr="00212EA8">
        <w:tab/>
      </w:r>
      <w:r w:rsidRPr="00212EA8">
        <w:tab/>
        <w:t>Meinungs- und Meinungsfreiheit sowie Zugang zu Informationen (Art. 21)</w:t>
      </w:r>
    </w:p>
    <w:p w14:paraId="56C95ACD" w14:textId="77777777" w:rsidR="00296E8D" w:rsidRPr="00212EA8" w:rsidRDefault="00296E8D" w:rsidP="00296E8D">
      <w:pPr>
        <w:pStyle w:val="SingleTxtG"/>
      </w:pPr>
      <w:r w:rsidRPr="00212EA8">
        <w:t>47.</w:t>
      </w:r>
      <w:r w:rsidRPr="00212EA8">
        <w:tab/>
        <w:t xml:space="preserve">Der EWSA ist besorgt über das Fehlen einer nationalen Norm für die Zugänglichkeit von Informationen und deren wirksame Überwachung, was zu einem Mangel an effektivem Zugang zu Informationen, insbesondere im privaten Rundfunk und auf Websites, und zur eingeschränkten Zugänglichkeit von Informationen während der COVID-19-Pandemie, insbesondere für gehörlose oder schwerhörige Personen und Personen mit einer geistigen Behinderung, führt. </w:t>
      </w:r>
    </w:p>
    <w:p w14:paraId="05AD57CC" w14:textId="31742410" w:rsidR="00296E8D" w:rsidRPr="00212EA8" w:rsidRDefault="00296E8D" w:rsidP="00296E8D">
      <w:pPr>
        <w:pStyle w:val="SingleTxtG"/>
        <w:rPr>
          <w:b/>
          <w:bCs/>
        </w:rPr>
      </w:pPr>
      <w:r w:rsidRPr="00212EA8">
        <w:t>48.</w:t>
      </w:r>
      <w:r w:rsidRPr="00212EA8">
        <w:rPr>
          <w:b/>
          <w:bCs/>
        </w:rPr>
        <w:tab/>
        <w:t xml:space="preserve">Der Ausschuss empfiehlt, dass der Vertragsstaat in enger Abstimmung mit und </w:t>
      </w:r>
      <w:r w:rsidRPr="00212EA8">
        <w:rPr>
          <w:b/>
        </w:rPr>
        <w:t xml:space="preserve">mit dem </w:t>
      </w:r>
      <w:r w:rsidRPr="00212EA8">
        <w:rPr>
          <w:b/>
          <w:bCs/>
        </w:rPr>
        <w:t>aktive Einbeziehung von Menschen mit Behinderungen und ihrer Vertretungsorganisationen, alle erforderlichen Maßnahmen zu ergreifen, einschließlich der Verabschiedung inklusiver Medienvorschriften und der Entwicklung und Umsetzung einer nationalen Norm für Barrierefreiheit sowie von Überwachungs- und Sanktionsmechanismen auf der Grundlage internationaler und europäischer Normen, um sicherzustellen, dass Informationen, die für die breite Öffentlichkeit bestimmt sind, in zugänglichen Formaten und durch unterstützende Technologien für alle Menschen mit Behinderungen verfügbar sind. rechtzeitig und ohne zusätzliche Kosten, insbesondere in Notfällen.</w:t>
      </w:r>
    </w:p>
    <w:p w14:paraId="660DE11C" w14:textId="77777777" w:rsidR="00296E8D" w:rsidRPr="00212EA8" w:rsidRDefault="00296E8D" w:rsidP="00296E8D">
      <w:pPr>
        <w:pStyle w:val="H23G"/>
      </w:pPr>
      <w:r w:rsidRPr="00212EA8">
        <w:tab/>
      </w:r>
      <w:r w:rsidRPr="00212EA8">
        <w:tab/>
        <w:t>Achtung der Privatsphäre (Art. 22)</w:t>
      </w:r>
    </w:p>
    <w:p w14:paraId="3D81CB42" w14:textId="77777777" w:rsidR="00296E8D" w:rsidRPr="00212EA8" w:rsidRDefault="00296E8D" w:rsidP="00296E8D">
      <w:pPr>
        <w:pStyle w:val="SingleTxtG"/>
      </w:pPr>
      <w:r w:rsidRPr="00212EA8">
        <w:t>49.</w:t>
      </w:r>
      <w:r w:rsidRPr="00212EA8">
        <w:tab/>
        <w:t xml:space="preserve">Der Ausschuss ist besorgt über das Fehlen umfassender Maßnahmen zur Gewährleistung des Datenschutzes und des Rechts auf Privatsphäre in Bezug auf personenbezogene, medizinische und Rehabilitationsinformationen von Menschen mit Behinderungen in Einrichtungen und geschützten Werkstätten sowie über das Fehlen von Vertraulichkeitsprotokollen zum Datenschutz von Inhabern eines Behindertenausweises in Bezug auf den Datenaustausch zwischen Einrichtungen und Dienstleistern. </w:t>
      </w:r>
    </w:p>
    <w:p w14:paraId="375F85E2" w14:textId="77777777" w:rsidR="00296E8D" w:rsidRPr="00212EA8" w:rsidRDefault="00296E8D" w:rsidP="00296E8D">
      <w:pPr>
        <w:pStyle w:val="SingleTxtG"/>
        <w:rPr>
          <w:b/>
          <w:bCs/>
        </w:rPr>
      </w:pPr>
      <w:r w:rsidRPr="00212EA8">
        <w:t>50.</w:t>
      </w:r>
      <w:r w:rsidRPr="00212EA8">
        <w:rPr>
          <w:b/>
          <w:bCs/>
        </w:rPr>
        <w:tab/>
        <w:t xml:space="preserve">Der Ausschuss empfiehlt, dass der Vertragsstaat alle erforderlichen Maßnahmen ergreift, einschließlich der Überarbeitung der Datenschutzgesetze, um den Datenschutz und das Recht auf Privatsphäre in Krankenhäusern, Einrichtungen </w:t>
      </w:r>
      <w:r w:rsidRPr="00212EA8">
        <w:rPr>
          <w:b/>
          <w:bCs/>
        </w:rPr>
        <w:lastRenderedPageBreak/>
        <w:t xml:space="preserve">und geschützten Werkstätten zu gewährleisten, und Datenschutzprotokolle und sichere Systeme einzurichten, um den Schutz personenbezogener, gesundheitlicher und rehabilitativer Informationen von Menschen mit Behinderungen zu gewährleisten.  auf Augenhöhe mit anderen. </w:t>
      </w:r>
    </w:p>
    <w:p w14:paraId="669FFFF2" w14:textId="77777777" w:rsidR="00296E8D" w:rsidRPr="00212EA8" w:rsidRDefault="00296E8D" w:rsidP="00296E8D">
      <w:pPr>
        <w:pStyle w:val="H23G"/>
      </w:pPr>
      <w:r w:rsidRPr="00212EA8">
        <w:tab/>
      </w:r>
      <w:r w:rsidRPr="00212EA8">
        <w:tab/>
        <w:t>Achtung des Zuhauses und der Familie (Art. 23)</w:t>
      </w:r>
    </w:p>
    <w:p w14:paraId="232AE6BE" w14:textId="77777777" w:rsidR="00296E8D" w:rsidRPr="00212EA8" w:rsidRDefault="00296E8D" w:rsidP="00296E8D">
      <w:pPr>
        <w:pStyle w:val="SingleTxtG"/>
      </w:pPr>
      <w:r w:rsidRPr="00212EA8">
        <w:t>51.</w:t>
      </w:r>
      <w:r w:rsidRPr="00212EA8">
        <w:tab/>
        <w:t>Der Ausschuss ist besorgt über bestimmte Bestimmungen des Bürgerlichen Gesetzbuches, die zu Verletzungen der Rechte von Menschen mit Behinderungen, insbesondere von Menschen mit geistigen und/oder psychosozialen Behinderungen, auf Wohnung und Familienleben führen können, nämlich:</w:t>
      </w:r>
    </w:p>
    <w:p w14:paraId="3FE2DC38" w14:textId="77777777" w:rsidR="00296E8D" w:rsidRPr="00212EA8" w:rsidRDefault="00296E8D" w:rsidP="00296E8D">
      <w:pPr>
        <w:pStyle w:val="SingleTxtG"/>
      </w:pPr>
      <w:r w:rsidRPr="00212EA8">
        <w:tab/>
        <w:t>(a)</w:t>
      </w:r>
      <w:r w:rsidRPr="00212EA8">
        <w:tab/>
        <w:t>§ 1304, der es einer Person, die "nicht geschäftsfähig" ist, verbietet, eine Ehe einzugehen;</w:t>
      </w:r>
    </w:p>
    <w:p w14:paraId="7D2717F9" w14:textId="77777777" w:rsidR="00296E8D" w:rsidRPr="00212EA8" w:rsidRDefault="00296E8D" w:rsidP="00296E8D">
      <w:pPr>
        <w:pStyle w:val="SingleTxtG"/>
      </w:pPr>
      <w:r w:rsidRPr="00212EA8">
        <w:tab/>
        <w:t>b)</w:t>
      </w:r>
      <w:r w:rsidRPr="00212EA8">
        <w:tab/>
        <w:t>§ 1673, der die Aussetzung der elterlichen Sorge für Personen festlegt, die "geschäftsunfähig" sind;</w:t>
      </w:r>
    </w:p>
    <w:p w14:paraId="5FCF9E2C" w14:textId="77777777" w:rsidR="00296E8D" w:rsidRPr="00212EA8" w:rsidRDefault="00296E8D" w:rsidP="00296E8D">
      <w:pPr>
        <w:pStyle w:val="SingleTxtG"/>
      </w:pPr>
      <w:r w:rsidRPr="00212EA8">
        <w:tab/>
        <w:t>c)</w:t>
      </w:r>
      <w:r w:rsidRPr="00212EA8">
        <w:tab/>
        <w:t xml:space="preserve">§ 1748, der eine Ersatzeinwilligung für die Adoption vorsieht, wenn die Eltern "eine schwere psychische Erkrankung oder eine besonders schwere geistige oder psychische Behinderung" haben; </w:t>
      </w:r>
    </w:p>
    <w:p w14:paraId="3AF3DB6C" w14:textId="77777777" w:rsidR="00296E8D" w:rsidRPr="00212EA8" w:rsidRDefault="00296E8D" w:rsidP="00296E8D">
      <w:pPr>
        <w:pStyle w:val="SingleTxtG"/>
      </w:pPr>
      <w:r w:rsidRPr="00212EA8">
        <w:tab/>
        <w:t>d)</w:t>
      </w:r>
      <w:r w:rsidRPr="00212EA8">
        <w:tab/>
        <w:t xml:space="preserve">§ 1905, der die Möglichkeit der Sterilisation von Personen unter Obhut ohne deren freie und informierte Zustimmung vorsieht. </w:t>
      </w:r>
    </w:p>
    <w:p w14:paraId="3835851E" w14:textId="77777777" w:rsidR="00296E8D" w:rsidRPr="00212EA8" w:rsidRDefault="00296E8D" w:rsidP="00296E8D">
      <w:pPr>
        <w:pStyle w:val="SingleTxtG"/>
        <w:rPr>
          <w:b/>
          <w:bCs/>
        </w:rPr>
      </w:pPr>
      <w:r w:rsidRPr="00212EA8">
        <w:t>52.</w:t>
      </w:r>
      <w:r w:rsidRPr="00212EA8">
        <w:rPr>
          <w:b/>
          <w:bCs/>
        </w:rPr>
        <w:tab/>
        <w:t xml:space="preserve">Der Ausschuss empfiehlt dem Vertragsstaat, das Bürgerliche Gesetzbuch zu überarbeiten und alle Bestimmungen abzuschaffen, die den vollen Genuss und die uneingeschränkte Ausübung des Rechts einschränken könnten Ehe und Elternschaft sowie die reproduktiven Rechte von Menschen mit Behinderungen zu fördern und dass der Vertragsstaat das unterstützte Entscheidungsmodell in allen Angelegenheiten im Zusammenhang mit dem häuslichen und familiären Leben fördert. </w:t>
      </w:r>
    </w:p>
    <w:p w14:paraId="7840A34A" w14:textId="77777777" w:rsidR="00296E8D" w:rsidRPr="00212EA8" w:rsidRDefault="00296E8D" w:rsidP="00296E8D">
      <w:pPr>
        <w:pStyle w:val="H23G"/>
      </w:pPr>
      <w:r w:rsidRPr="00212EA8">
        <w:tab/>
      </w:r>
      <w:r w:rsidRPr="00212EA8">
        <w:tab/>
        <w:t>Bildung (Art. 24)</w:t>
      </w:r>
    </w:p>
    <w:p w14:paraId="62C55474" w14:textId="77777777" w:rsidR="00296E8D" w:rsidRPr="00212EA8" w:rsidRDefault="00296E8D" w:rsidP="00296E8D">
      <w:pPr>
        <w:pStyle w:val="SingleTxtG"/>
      </w:pPr>
      <w:r w:rsidRPr="00212EA8">
        <w:t>53.</w:t>
      </w:r>
      <w:r w:rsidRPr="00212EA8">
        <w:tab/>
        <w:t>Der Ausschuss ist besorgt über die mangelnde vollständige Umsetzung der inklusiven Bildung im gesamten Bildungssystem, die Verbreitung von Sonderschulen und -klassen und die verschiedenen Hindernisse, mit denen Kinder mit Behinderungen und ihre Familien bei der Einschreibung und dem Abschluss von Schulen an Regelschulen konfrontiert sind, darunter:</w:t>
      </w:r>
    </w:p>
    <w:p w14:paraId="4745C8AC" w14:textId="77777777" w:rsidR="00296E8D" w:rsidRPr="00212EA8" w:rsidRDefault="00296E8D" w:rsidP="00296E8D">
      <w:pPr>
        <w:pStyle w:val="SingleTxtG"/>
      </w:pPr>
      <w:r w:rsidRPr="00212EA8">
        <w:tab/>
        <w:t>(a)</w:t>
      </w:r>
      <w:r w:rsidRPr="00212EA8">
        <w:tab/>
        <w:t>das Fehlen eines klaren Mechanismus zur Förderung inklusiver Bildung in den Ländern und auf kommunaler Ebene;</w:t>
      </w:r>
    </w:p>
    <w:p w14:paraId="5B3042DA" w14:textId="77777777" w:rsidR="00296E8D" w:rsidRPr="00212EA8" w:rsidRDefault="00296E8D" w:rsidP="00296E8D">
      <w:pPr>
        <w:pStyle w:val="SingleTxtG"/>
      </w:pPr>
      <w:r w:rsidRPr="00212EA8">
        <w:rPr>
          <w:b/>
          <w:bCs/>
        </w:rPr>
        <w:tab/>
      </w:r>
      <w:r w:rsidRPr="00212EA8">
        <w:t>b)</w:t>
      </w:r>
      <w:r w:rsidRPr="00212EA8">
        <w:tab/>
        <w:t>die falschen Vorstellungen und die negative Wahrnehmung der inklusiven Bildung durch einige Exekutivorgane, die die Aufforderung der Eltern, ihre Kinder in Regelschulen anzumelden, als Hinweis auf die "Unfähigkeit, sich um ihr Kind zu kümmern" auffassen können;</w:t>
      </w:r>
    </w:p>
    <w:p w14:paraId="65819343" w14:textId="77777777" w:rsidR="00296E8D" w:rsidRPr="00212EA8" w:rsidRDefault="00296E8D" w:rsidP="00296E8D">
      <w:pPr>
        <w:pStyle w:val="SingleTxtG"/>
      </w:pPr>
      <w:r w:rsidRPr="00212EA8">
        <w:tab/>
        <w:t>c)</w:t>
      </w:r>
      <w:r w:rsidRPr="00212EA8">
        <w:tab/>
        <w:t>die mangelnde Zugänglichkeit und Unterbringung in öffentlichen Schulen sowie das Fehlen barrierefreier Verkehrsmittel, insbesondere in ländlichen Gebieten;</w:t>
      </w:r>
    </w:p>
    <w:p w14:paraId="36FB6B06" w14:textId="77777777" w:rsidR="00296E8D" w:rsidRPr="00212EA8" w:rsidRDefault="00296E8D" w:rsidP="00296E8D">
      <w:pPr>
        <w:pStyle w:val="SingleTxtG"/>
      </w:pPr>
      <w:r w:rsidRPr="00212EA8">
        <w:tab/>
        <w:t>d)</w:t>
      </w:r>
      <w:r w:rsidRPr="00212EA8">
        <w:tab/>
        <w:t>Unzureichende Schulung von Lehrkräften und nicht-lehrendem Personal in Bezug auf das Recht auf inklusive Bildung, unzureichende Entwicklung spezifischer Fähigkeiten und Lehrmethoden sowie berichteter Druck auf Eltern, Kinder mit Behinderungen in Sonderschulen anzumelden.</w:t>
      </w:r>
    </w:p>
    <w:p w14:paraId="66459E6B" w14:textId="77777777" w:rsidR="00296E8D" w:rsidRPr="00212EA8" w:rsidRDefault="00296E8D" w:rsidP="00296E8D">
      <w:pPr>
        <w:pStyle w:val="SingleTxtG"/>
        <w:rPr>
          <w:b/>
          <w:bCs/>
        </w:rPr>
      </w:pPr>
      <w:r w:rsidRPr="00212EA8">
        <w:t>54.</w:t>
      </w:r>
      <w:r w:rsidRPr="00212EA8">
        <w:rPr>
          <w:b/>
          <w:bCs/>
        </w:rPr>
        <w:tab/>
        <w:t xml:space="preserve">Unter Hinweis auf seine allgemeine Bemerkung Nr. 4 (2016) empfiehlt der Ausschuss, dass der Vertragsstaat in enger Abstimmung mit </w:t>
      </w:r>
      <w:r w:rsidRPr="00212EA8">
        <w:rPr>
          <w:b/>
        </w:rPr>
        <w:t xml:space="preserve">mit dem </w:t>
      </w:r>
      <w:r w:rsidRPr="00212EA8">
        <w:rPr>
          <w:b/>
          <w:bCs/>
        </w:rPr>
        <w:t>Aktive Beteiligung von Studierenden mit Behinderungen, ihren Familien und Vertretungsorganisationen:</w:t>
      </w:r>
    </w:p>
    <w:p w14:paraId="17DB5587" w14:textId="77777777" w:rsidR="00296E8D" w:rsidRPr="00212EA8" w:rsidRDefault="00296E8D" w:rsidP="00296E8D">
      <w:pPr>
        <w:pStyle w:val="SingleTxtG"/>
        <w:rPr>
          <w:b/>
          <w:bCs/>
        </w:rPr>
      </w:pPr>
      <w:r w:rsidRPr="00212EA8">
        <w:rPr>
          <w:b/>
          <w:bCs/>
        </w:rPr>
        <w:tab/>
      </w:r>
      <w:r w:rsidRPr="00212EA8">
        <w:t>(a)</w:t>
      </w:r>
      <w:r w:rsidRPr="00212EA8">
        <w:rPr>
          <w:b/>
          <w:bCs/>
        </w:rPr>
        <w:tab/>
        <w:t xml:space="preserve">Entwicklung eines umfassenden Plans zur Beschleunigung des Übergangs von der Sonderschule zur inklusiven Bildung auf Landes- und kommunaler Ebene mit konkreten Zeitrahmen, personellen, technischen und finanziellen Ressourcen und klaren Zuständigkeiten für die Umsetzung und Überwachung; </w:t>
      </w:r>
    </w:p>
    <w:p w14:paraId="546CC9AC" w14:textId="77777777" w:rsidR="00296E8D" w:rsidRPr="00212EA8" w:rsidRDefault="00296E8D" w:rsidP="00296E8D">
      <w:pPr>
        <w:pStyle w:val="SingleTxtG"/>
        <w:rPr>
          <w:b/>
          <w:bCs/>
        </w:rPr>
      </w:pPr>
      <w:r w:rsidRPr="00212EA8">
        <w:rPr>
          <w:b/>
          <w:bCs/>
        </w:rPr>
        <w:lastRenderedPageBreak/>
        <w:tab/>
      </w:r>
      <w:r w:rsidRPr="00212EA8">
        <w:t>b)</w:t>
      </w:r>
      <w:r w:rsidRPr="00212EA8">
        <w:rPr>
          <w:b/>
          <w:bCs/>
        </w:rPr>
        <w:tab/>
        <w:t>Durchführung von Sensibilisierungs- und Aufklärungskampagnen zur Förderung der inklusiven Bildung auf Gemeindeebene und bei den zuständigen Behörden;</w:t>
      </w:r>
    </w:p>
    <w:p w14:paraId="6C81BD13" w14:textId="77777777" w:rsidR="00296E8D" w:rsidRPr="00212EA8" w:rsidRDefault="00296E8D" w:rsidP="00296E8D">
      <w:pPr>
        <w:pStyle w:val="SingleTxtG"/>
        <w:rPr>
          <w:b/>
          <w:bCs/>
        </w:rPr>
      </w:pPr>
      <w:r w:rsidRPr="00212EA8">
        <w:rPr>
          <w:b/>
          <w:bCs/>
        </w:rPr>
        <w:tab/>
      </w:r>
      <w:r w:rsidRPr="00212EA8">
        <w:t>c)</w:t>
      </w:r>
      <w:r w:rsidRPr="00212EA8">
        <w:tab/>
      </w:r>
      <w:r w:rsidRPr="00212EA8">
        <w:rPr>
          <w:b/>
          <w:bCs/>
        </w:rPr>
        <w:t>sicherzustellen, dass Kinder mit Behinderungen Regelschulen besuchen können, unter anderem durch die Verbesserung der Zugänglichkeit und der Unterbringung für alle Arten von Behinderungen und die Bereitstellung geeigneter Vorkehrungen für den Transport, insbesondere in ländlichen Gebieten;</w:t>
      </w:r>
    </w:p>
    <w:p w14:paraId="483F69D4" w14:textId="77777777" w:rsidR="00296E8D" w:rsidRPr="00212EA8" w:rsidRDefault="00296E8D" w:rsidP="00296E8D">
      <w:pPr>
        <w:pStyle w:val="SingleTxtG"/>
        <w:rPr>
          <w:b/>
          <w:bCs/>
        </w:rPr>
      </w:pPr>
      <w:r w:rsidRPr="00212EA8">
        <w:rPr>
          <w:b/>
          <w:bCs/>
        </w:rPr>
        <w:tab/>
      </w:r>
      <w:r w:rsidRPr="00212EA8">
        <w:t>d)</w:t>
      </w:r>
      <w:r w:rsidRPr="00212EA8">
        <w:rPr>
          <w:b/>
          <w:bCs/>
        </w:rPr>
        <w:tab/>
        <w:t>Gewährleistung der kontinuierlichen Fortbildung von Lehrkräften und nicht-lehrendem Personal im Bereich der inklusiven Bildung auf allen Ebenen, einschließlich Schulungen in Gebärdensprache und anderen zugänglichen Kommunikationsformaten, und Entwicklung eines Überwachungssystems, um alle Formen der direkten und indirekten Diskriminierung von Kindern mit Behinderungen und ihren Familien zu beseitigen.</w:t>
      </w:r>
    </w:p>
    <w:p w14:paraId="43CBC175" w14:textId="77777777" w:rsidR="00296E8D" w:rsidRPr="00212EA8" w:rsidRDefault="00296E8D" w:rsidP="00296E8D">
      <w:pPr>
        <w:pStyle w:val="SingleTxtG"/>
      </w:pPr>
      <w:r w:rsidRPr="00212EA8">
        <w:t>55.</w:t>
      </w:r>
      <w:r w:rsidRPr="00212EA8">
        <w:tab/>
        <w:t xml:space="preserve">Der EWSA ist besorgt über den Mangel an Daten über den Zugang von Flüchtlingskindern mit Behinderungen zu Bildung und Regelschulen. </w:t>
      </w:r>
    </w:p>
    <w:p w14:paraId="7AC97E5E" w14:textId="77777777" w:rsidR="00296E8D" w:rsidRPr="00212EA8" w:rsidRDefault="00296E8D" w:rsidP="00296E8D">
      <w:pPr>
        <w:pStyle w:val="SingleTxtG"/>
        <w:rPr>
          <w:b/>
          <w:bCs/>
        </w:rPr>
      </w:pPr>
      <w:r w:rsidRPr="00212EA8">
        <w:t>56.</w:t>
      </w:r>
      <w:r w:rsidRPr="00212EA8">
        <w:rPr>
          <w:b/>
          <w:bCs/>
        </w:rPr>
        <w:tab/>
        <w:t>Der Ausschuss empfiehlt, dass der Vertragsstaat ausreichende Mittel für die regelmäßige, nach Geschlecht und Art der Behinderung aufgeschlüsselte Daten über die Anzahl und den Anteil der Flüchtlingskinder mit Behinderungen, die Zugang zu Bildung haben und Regel- und Sonderschulen besuchen, sowie über die Schulabbrecherquoten bereitstellt.</w:t>
      </w:r>
    </w:p>
    <w:p w14:paraId="1F01C653" w14:textId="77777777" w:rsidR="00296E8D" w:rsidRPr="00212EA8" w:rsidRDefault="00296E8D" w:rsidP="00296E8D">
      <w:pPr>
        <w:pStyle w:val="H23G"/>
      </w:pPr>
      <w:r w:rsidRPr="00212EA8">
        <w:tab/>
      </w:r>
      <w:r w:rsidRPr="00212EA8">
        <w:tab/>
        <w:t>Gesundheit (Art. 25)</w:t>
      </w:r>
    </w:p>
    <w:p w14:paraId="22222077" w14:textId="77777777" w:rsidR="00296E8D" w:rsidRPr="00212EA8" w:rsidRDefault="00296E8D" w:rsidP="00296E8D">
      <w:pPr>
        <w:pStyle w:val="SingleTxtG"/>
      </w:pPr>
      <w:r w:rsidRPr="00212EA8">
        <w:t>57.</w:t>
      </w:r>
      <w:r w:rsidRPr="00212EA8">
        <w:tab/>
        <w:t>Der Ausschuss ist besorgt über</w:t>
      </w:r>
    </w:p>
    <w:p w14:paraId="1244458F" w14:textId="77777777" w:rsidR="00296E8D" w:rsidRPr="00212EA8" w:rsidRDefault="00296E8D" w:rsidP="00296E8D">
      <w:pPr>
        <w:pStyle w:val="SingleTxtG"/>
      </w:pPr>
      <w:r w:rsidRPr="00212EA8">
        <w:tab/>
        <w:t>(a)</w:t>
      </w:r>
      <w:r w:rsidRPr="00212EA8">
        <w:tab/>
        <w:t>die mangelnde Zugänglichkeit und die mangelnde Zugänglichkeit von Gesundheitsfachkräften, die in der Kommunikation und in der Bereitstellung von Informationen in zugänglichen Methoden und Formaten in Gesundheitseinrichtungen, insbesondere für Frauen mit Behinderungen und in ländlichen Gebieten, geschult sind, sowie die Tatsache, dass Menschen mit Behinderungen möglicherweise weite Strecken zurücklegen müssen, um barrierefreie medizinische Dienstleistungen in Anspruch zu nehmen;</w:t>
      </w:r>
    </w:p>
    <w:p w14:paraId="602D27A2" w14:textId="77777777" w:rsidR="00296E8D" w:rsidRPr="00212EA8" w:rsidRDefault="00296E8D" w:rsidP="00296E8D">
      <w:pPr>
        <w:pStyle w:val="SingleTxtG"/>
      </w:pPr>
      <w:r w:rsidRPr="00212EA8">
        <w:tab/>
        <w:t>b)</w:t>
      </w:r>
      <w:r w:rsidRPr="00212EA8">
        <w:tab/>
        <w:t>die Tatsache, dass Menschen mit geistigen und/oder psychosozialen Behinderungen sowie gehörlose oder schwerhörige Personen aufgrund mangelnder Ausbildung und diskriminierender Herangehensweise von Angehörigen der Gesundheitsberufe mit geringerer Wahrscheinlichkeit eine qualitativ hochwertige Gesundheitsversorgung erhalten;</w:t>
      </w:r>
    </w:p>
    <w:p w14:paraId="3F5663E5" w14:textId="77777777" w:rsidR="00296E8D" w:rsidRPr="00212EA8" w:rsidRDefault="00296E8D" w:rsidP="00296E8D">
      <w:pPr>
        <w:pStyle w:val="SingleTxtG"/>
      </w:pPr>
      <w:r w:rsidRPr="00212EA8">
        <w:tab/>
        <w:t>c)</w:t>
      </w:r>
      <w:r w:rsidRPr="00212EA8">
        <w:tab/>
        <w:t>das Fehlen von Rechtsvorschriften, insbesondere im Bürgerlichen Gesetzbuch, über die Bereitstellung medizinischer Informationen für Menschen mit Behinderungen in zugänglichen Formaten, um sicherzustellen, dass ihre freie und informierte Einwilligung gleichberechtigt mit anderen vor jedem medizinischen Eingriff eingeholt wird;</w:t>
      </w:r>
    </w:p>
    <w:p w14:paraId="70430D33" w14:textId="77777777" w:rsidR="00296E8D" w:rsidRPr="00212EA8" w:rsidRDefault="00296E8D" w:rsidP="00296E8D">
      <w:pPr>
        <w:pStyle w:val="SingleTxtG"/>
      </w:pPr>
      <w:r w:rsidRPr="00212EA8">
        <w:tab/>
        <w:t>d)</w:t>
      </w:r>
      <w:r w:rsidRPr="00212EA8">
        <w:tab/>
        <w:t>Zugang zu Gesundheitsdiensten für Asylsuchende, die zwar eine Akutversorgung, aber keine "ergänzenden" Leistungen wie Physiotherapie, Ergotherapie und psychische Behandlung erhalten.</w:t>
      </w:r>
    </w:p>
    <w:p w14:paraId="575E4288" w14:textId="77777777" w:rsidR="00296E8D" w:rsidRPr="00212EA8" w:rsidRDefault="00296E8D" w:rsidP="00296E8D">
      <w:pPr>
        <w:pStyle w:val="SingleTxtG"/>
        <w:rPr>
          <w:b/>
          <w:bCs/>
        </w:rPr>
      </w:pPr>
      <w:r w:rsidRPr="00212EA8">
        <w:t>58.</w:t>
      </w:r>
      <w:r w:rsidRPr="00212EA8">
        <w:rPr>
          <w:b/>
          <w:bCs/>
        </w:rPr>
        <w:tab/>
        <w:t>Der Ausschuss empfiehlt dem Vertragsstaat,</w:t>
      </w:r>
    </w:p>
    <w:p w14:paraId="562B2F8D" w14:textId="77777777" w:rsidR="00296E8D" w:rsidRPr="00212EA8" w:rsidRDefault="00296E8D" w:rsidP="00296E8D">
      <w:pPr>
        <w:pStyle w:val="SingleTxtG"/>
        <w:rPr>
          <w:b/>
          <w:bCs/>
        </w:rPr>
      </w:pPr>
      <w:r w:rsidRPr="00212EA8">
        <w:rPr>
          <w:b/>
          <w:bCs/>
        </w:rPr>
        <w:tab/>
      </w:r>
      <w:r w:rsidRPr="00212EA8">
        <w:t>(a)</w:t>
      </w:r>
      <w:r w:rsidRPr="00212EA8">
        <w:rPr>
          <w:b/>
          <w:bCs/>
        </w:rPr>
        <w:tab/>
      </w:r>
      <w:r w:rsidRPr="00212EA8">
        <w:rPr>
          <w:b/>
          <w:bCs/>
        </w:rPr>
        <w:tab/>
        <w:t>Maßnahmen zu ergreifen, um die Verfügbarkeit und Zugänglichkeit von Gesundheitsdiensten in allen Bundesländern, insbesondere für Frauen mit Behinderungen und in ländlichen Gebieten, ohne Diskriminierung zu gewährleisten, indem Barrieren ermittelt und beseitigt und barrierefreie medizinische Geräte bereitgestellt werden;</w:t>
      </w:r>
    </w:p>
    <w:p w14:paraId="51CC0D63" w14:textId="77777777" w:rsidR="00296E8D" w:rsidRPr="00212EA8" w:rsidRDefault="00296E8D" w:rsidP="00296E8D">
      <w:pPr>
        <w:pStyle w:val="SingleTxtG"/>
        <w:rPr>
          <w:b/>
          <w:bCs/>
        </w:rPr>
      </w:pPr>
      <w:r w:rsidRPr="00212EA8">
        <w:rPr>
          <w:b/>
          <w:bCs/>
        </w:rPr>
        <w:tab/>
      </w:r>
      <w:r w:rsidRPr="00212EA8">
        <w:t>b)</w:t>
      </w:r>
      <w:r w:rsidRPr="00212EA8">
        <w:rPr>
          <w:b/>
          <w:bCs/>
        </w:rPr>
        <w:tab/>
        <w:t>Stärkung der Mechanismen für die regelmäßige Schulung von Angehörigen der Gesundheitsberufe in Bezug auf Menschenrechte, Würde, Autonomie und die Bedürfnisse von Menschen mit Behinderungen;</w:t>
      </w:r>
    </w:p>
    <w:p w14:paraId="1C2A6EA7" w14:textId="5F17B48C" w:rsidR="00296E8D" w:rsidRPr="00212EA8" w:rsidRDefault="00296E8D" w:rsidP="00296E8D">
      <w:pPr>
        <w:pStyle w:val="SingleTxtG"/>
        <w:rPr>
          <w:b/>
          <w:bCs/>
        </w:rPr>
      </w:pPr>
      <w:r w:rsidRPr="00212EA8">
        <w:rPr>
          <w:b/>
          <w:bCs/>
        </w:rPr>
        <w:tab/>
      </w:r>
      <w:r w:rsidRPr="00212EA8">
        <w:t>c)</w:t>
      </w:r>
      <w:r w:rsidRPr="00212EA8">
        <w:rPr>
          <w:b/>
          <w:bCs/>
        </w:rPr>
        <w:tab/>
        <w:t xml:space="preserve">Durchsetzung der Vorschriften über den rechtlichen Schutz von Menschen mit Behinderungen vor Diskriminierung im Gesundheitswesen und Festlegung standardisierter Protokolle für die Bereitstellung medizinischer </w:t>
      </w:r>
      <w:r w:rsidRPr="00212EA8">
        <w:rPr>
          <w:b/>
          <w:bCs/>
        </w:rPr>
        <w:lastRenderedPageBreak/>
        <w:t>Informationen für Menschen mit Behinderungen und ihre freie und informierte Zustimmung zu medizinischen Eingriffen in Übereinstimmung mit dem Übereinkommen und der Allgemeinen Bemerkung Nr. 1 (2014) des Ausschusses;</w:t>
      </w:r>
    </w:p>
    <w:p w14:paraId="22E3AE6C" w14:textId="77777777" w:rsidR="00296E8D" w:rsidRPr="00212EA8" w:rsidRDefault="00296E8D" w:rsidP="00296E8D">
      <w:pPr>
        <w:pStyle w:val="SingleTxtG"/>
        <w:rPr>
          <w:b/>
          <w:bCs/>
        </w:rPr>
      </w:pPr>
      <w:r w:rsidRPr="00212EA8">
        <w:rPr>
          <w:b/>
          <w:bCs/>
        </w:rPr>
        <w:tab/>
      </w:r>
      <w:r w:rsidRPr="00212EA8">
        <w:t>d)</w:t>
      </w:r>
      <w:r w:rsidRPr="00212EA8">
        <w:rPr>
          <w:b/>
          <w:bCs/>
        </w:rPr>
        <w:tab/>
        <w:t>Sicherstellen, dass Asylsuchende mit Behinderungen bei ihrer Ankunft gleichberechtigt mit anderen Zugang zu umfassenden Gesundheitsdiensten haben.</w:t>
      </w:r>
    </w:p>
    <w:p w14:paraId="13A73017" w14:textId="77777777" w:rsidR="00296E8D" w:rsidRPr="00212EA8" w:rsidRDefault="00296E8D" w:rsidP="00296E8D">
      <w:pPr>
        <w:pStyle w:val="H23G"/>
      </w:pPr>
      <w:r w:rsidRPr="00212EA8">
        <w:tab/>
      </w:r>
      <w:r w:rsidRPr="00212EA8">
        <w:tab/>
        <w:t>Habilitation und Rehabilitierung (Art. 26)</w:t>
      </w:r>
    </w:p>
    <w:p w14:paraId="0FECA771" w14:textId="00E66385" w:rsidR="00296E8D" w:rsidRPr="00212EA8" w:rsidRDefault="00296E8D" w:rsidP="00296E8D">
      <w:pPr>
        <w:pStyle w:val="SingleTxtG"/>
      </w:pPr>
      <w:r w:rsidRPr="00212EA8">
        <w:t>59.</w:t>
      </w:r>
      <w:r w:rsidRPr="00212EA8">
        <w:tab/>
        <w:t>Der Ausschuss ist besorgt über das Fehlen von Mechanismen, die sicherstellen, dass Menschen mit Behinderungen ganzheitliche Rehabilitationsleistungen von verschiedenen Anbietern in den Ländern erhalten, und die ungewissen langfristigen Auswirkungen des Bundesteilhabegesetzes auf die Schaffung effizienter Rehabilitationssysteme zur Verringerung der Segregation, insbesondere in geschlossenen Einrichtungen und geschützten Werkstätten.</w:t>
      </w:r>
    </w:p>
    <w:p w14:paraId="04E05FAA" w14:textId="77777777" w:rsidR="00296E8D" w:rsidRPr="00212EA8" w:rsidRDefault="00296E8D" w:rsidP="00296E8D">
      <w:pPr>
        <w:pStyle w:val="SingleTxtG"/>
        <w:rPr>
          <w:b/>
          <w:bCs/>
        </w:rPr>
      </w:pPr>
      <w:r w:rsidRPr="00212EA8">
        <w:t>60.</w:t>
      </w:r>
      <w:r w:rsidRPr="00212EA8">
        <w:rPr>
          <w:b/>
          <w:bCs/>
        </w:rPr>
        <w:tab/>
        <w:t>Der Ausschuss empfiehlt, dass der Vertragsstaat bereichsübergreifende, zugängliche und flexible Mechanismen entwickelt, durch die Menschen mit Behinderungen auf einfache Weise die relevantesten Rehabilitationsprogramme oder -dienstleistungen entsprechend ihrer Wahl und Präferenz auswählen und erhalten können, und regelmäßige thematische Bewertungen von Rehabilitationsprogrammen durchführen, um sicherzustellen, dass Menschen mit Behinderungen ein unabhängiges Leben führen und Zugang zum Arbeitsmarkt haben.</w:t>
      </w:r>
    </w:p>
    <w:p w14:paraId="2EC2A66B" w14:textId="77777777" w:rsidR="00296E8D" w:rsidRPr="00212EA8" w:rsidRDefault="00296E8D" w:rsidP="00296E8D">
      <w:pPr>
        <w:pStyle w:val="H23G"/>
      </w:pPr>
      <w:r w:rsidRPr="00212EA8">
        <w:tab/>
      </w:r>
      <w:r w:rsidRPr="00212EA8">
        <w:tab/>
        <w:t>Arbeit und Beschäftigung (Art. 27)</w:t>
      </w:r>
    </w:p>
    <w:p w14:paraId="7C773068" w14:textId="4DC3969B" w:rsidR="00296E8D" w:rsidRPr="00212EA8" w:rsidRDefault="00296E8D" w:rsidP="00296E8D">
      <w:pPr>
        <w:pStyle w:val="SingleTxtG"/>
      </w:pPr>
      <w:r w:rsidRPr="00212EA8">
        <w:t>61.</w:t>
      </w:r>
      <w:r w:rsidRPr="00212EA8">
        <w:tab/>
        <w:t>Der Ausschuss ist besorgt über</w:t>
      </w:r>
    </w:p>
    <w:p w14:paraId="0389084F" w14:textId="77777777" w:rsidR="00296E8D" w:rsidRPr="00212EA8" w:rsidRDefault="00296E8D" w:rsidP="00296E8D">
      <w:pPr>
        <w:pStyle w:val="SingleTxtG"/>
      </w:pPr>
      <w:r w:rsidRPr="00212EA8">
        <w:tab/>
        <w:t>(a)</w:t>
      </w:r>
      <w:r w:rsidRPr="00212EA8">
        <w:tab/>
        <w:t>die hohe Arbeitslosigkeit von Menschen mit Behinderungen, insbesondere von Menschen mit intensivem Unterstützungsbedarf, die hohe Zahl von Menschen mit Behinderungen, die in geschützten Werkstätten eingeschrieben sind, und die geringe Übergangsquote in den offenen Arbeitsmarkt;</w:t>
      </w:r>
    </w:p>
    <w:p w14:paraId="3B10825C" w14:textId="77777777" w:rsidR="00296E8D" w:rsidRPr="00212EA8" w:rsidRDefault="00296E8D" w:rsidP="00296E8D">
      <w:pPr>
        <w:pStyle w:val="SingleTxtG"/>
      </w:pPr>
      <w:r w:rsidRPr="00212EA8">
        <w:tab/>
        <w:t>b)</w:t>
      </w:r>
      <w:r w:rsidRPr="00212EA8">
        <w:tab/>
        <w:t>Unzureichende gesetzliche Maßnahmen, um die Zugänglichkeit von Arbeitsplätzen und angemessene Vorkehrungen an Arbeitsplätzen zu gewährleisten und den Privatsektor für die Nichteinhaltung der Beschäftigungsquoten für Menschen mit Behinderungen zur Rechenschaft zu ziehen;</w:t>
      </w:r>
    </w:p>
    <w:p w14:paraId="0365DE17" w14:textId="77777777" w:rsidR="00296E8D" w:rsidRPr="00212EA8" w:rsidRDefault="00296E8D" w:rsidP="00296E8D">
      <w:pPr>
        <w:pStyle w:val="SingleTxtG"/>
      </w:pPr>
      <w:r w:rsidRPr="00212EA8">
        <w:tab/>
        <w:t>c)</w:t>
      </w:r>
      <w:r w:rsidRPr="00212EA8">
        <w:tab/>
        <w:t>Der Mangel an zugänglichen und inklusiven Einrichtungen, die Berufsausbildung anbieten, und Protokolle, um Diskriminierung und Segregation zu beseitigen und sicherzustellen, dass Menschen mit Behinderungen die gleichen Chancen haben, Berufsbildungsprogramme frei und ohne jegliche Art von Zwang zu wählen.</w:t>
      </w:r>
    </w:p>
    <w:p w14:paraId="7605C396" w14:textId="77777777" w:rsidR="00296E8D" w:rsidRPr="00212EA8" w:rsidRDefault="00296E8D" w:rsidP="00296E8D">
      <w:pPr>
        <w:pStyle w:val="SingleTxtG"/>
        <w:rPr>
          <w:b/>
          <w:bCs/>
        </w:rPr>
      </w:pPr>
      <w:r w:rsidRPr="00212EA8">
        <w:t>62.</w:t>
      </w:r>
      <w:r w:rsidRPr="00212EA8">
        <w:rPr>
          <w:b/>
          <w:bCs/>
        </w:rPr>
        <w:tab/>
        <w:t>unter Bezugnahme auf seine Allgemeine Bemerkung Nr. 8 (2022) und unter Hinweis auf die Empfehlungen des Ausschusses für wirtschaftliche, soziale und kulturelle Rechte,</w:t>
      </w:r>
      <w:r w:rsidRPr="00F972B6">
        <w:rPr>
          <w:rStyle w:val="Funotenzeichen"/>
        </w:rPr>
        <w:footnoteReference w:id="12"/>
      </w:r>
      <w:r w:rsidRPr="00212EA8">
        <w:rPr>
          <w:b/>
          <w:bCs/>
        </w:rPr>
        <w:t xml:space="preserve"> Der Ausschuss empfiehlt dem Vertragsstaat,</w:t>
      </w:r>
    </w:p>
    <w:p w14:paraId="562D4A47" w14:textId="77777777" w:rsidR="00296E8D" w:rsidRPr="00212EA8" w:rsidRDefault="00296E8D" w:rsidP="00296E8D">
      <w:pPr>
        <w:pStyle w:val="SingleTxtG"/>
        <w:rPr>
          <w:b/>
          <w:bCs/>
        </w:rPr>
      </w:pPr>
      <w:r w:rsidRPr="00212EA8">
        <w:rPr>
          <w:b/>
          <w:bCs/>
        </w:rPr>
        <w:tab/>
      </w:r>
      <w:r w:rsidRPr="00212EA8">
        <w:t>(a)</w:t>
      </w:r>
      <w:r w:rsidRPr="00212EA8">
        <w:rPr>
          <w:b/>
          <w:bCs/>
        </w:rPr>
        <w:tab/>
        <w:t xml:space="preserve">Entwicklung in enger Abstimmung mit und </w:t>
      </w:r>
      <w:r w:rsidRPr="00212EA8">
        <w:rPr>
          <w:b/>
        </w:rPr>
        <w:t xml:space="preserve">mit dem </w:t>
      </w:r>
      <w:r w:rsidRPr="00212EA8">
        <w:rPr>
          <w:b/>
          <w:bCs/>
        </w:rPr>
        <w:t>aktive Beteiligung von Behindertenorganisationen, ein Aktionsplan zur Förderung des Übergangs von Menschen mit Behinderungen in geschützten Werkstätten in den offenen Arbeitsmarkt in den Ländern, der eine angemessene Mittelzuweisung und einen konkreten Zeitrahmen vorsieht;</w:t>
      </w:r>
    </w:p>
    <w:p w14:paraId="22875824" w14:textId="77777777" w:rsidR="00296E8D" w:rsidRPr="00212EA8" w:rsidRDefault="00296E8D" w:rsidP="00296E8D">
      <w:pPr>
        <w:pStyle w:val="SingleTxtG"/>
        <w:rPr>
          <w:b/>
          <w:bCs/>
        </w:rPr>
      </w:pPr>
      <w:r w:rsidRPr="00212EA8">
        <w:rPr>
          <w:b/>
          <w:bCs/>
        </w:rPr>
        <w:tab/>
      </w:r>
      <w:r w:rsidRPr="00212EA8">
        <w:t>b)</w:t>
      </w:r>
      <w:r w:rsidRPr="00212EA8">
        <w:rPr>
          <w:b/>
          <w:bCs/>
        </w:rPr>
        <w:tab/>
        <w:t>die Umsetzung der Beschäftigungsquoten für Menschen mit Behinderungen sowohl im öffentlichen als auch im privaten Sektor durchzusetzen, auch durch Maßnahmen, die wirksamer sind als die derzeitige Ausgleichsabgabe, und Gewährleistung der Zugänglichkeit von Arbeitsplätzen und angemessener Vorkehrungen an Arbeitsplätzen;</w:t>
      </w:r>
    </w:p>
    <w:p w14:paraId="3D4D2875" w14:textId="77777777" w:rsidR="00296E8D" w:rsidRPr="00212EA8" w:rsidRDefault="00296E8D" w:rsidP="00296E8D">
      <w:pPr>
        <w:pStyle w:val="SingleTxtG"/>
        <w:rPr>
          <w:b/>
          <w:bCs/>
        </w:rPr>
      </w:pPr>
      <w:r w:rsidRPr="00212EA8">
        <w:rPr>
          <w:b/>
          <w:bCs/>
        </w:rPr>
        <w:tab/>
      </w:r>
      <w:r w:rsidRPr="00212EA8">
        <w:t>c)</w:t>
      </w:r>
      <w:r w:rsidRPr="00212EA8">
        <w:rPr>
          <w:b/>
          <w:bCs/>
        </w:rPr>
        <w:tab/>
        <w:t xml:space="preserve">Umstrukturierung des Berufsbildungssystems und Ergreifung von Maßnahmen zur Gewährleistung von Zugänglichkeit und Inklusion, unter anderem durch die Einrichtung eines Beschwerdemechanismus zur Untersuchung </w:t>
      </w:r>
      <w:r w:rsidRPr="00212EA8">
        <w:rPr>
          <w:b/>
          <w:bCs/>
        </w:rPr>
        <w:lastRenderedPageBreak/>
        <w:t>diskriminierender Praktiken aufgrund von Behinderungen im Bereich der beruflichen Rehabilitation und Arbeit.</w:t>
      </w:r>
    </w:p>
    <w:p w14:paraId="5415E000" w14:textId="77777777" w:rsidR="00296E8D" w:rsidRPr="00212EA8" w:rsidRDefault="00296E8D" w:rsidP="00296E8D">
      <w:pPr>
        <w:pStyle w:val="H23G"/>
      </w:pPr>
      <w:bookmarkStart w:id="3" w:name="_Hlk144719522"/>
      <w:r w:rsidRPr="00212EA8">
        <w:tab/>
      </w:r>
      <w:r w:rsidRPr="00212EA8">
        <w:tab/>
        <w:t>Angemessener Lebensstandard und sozialer Schutz (Art. 28)</w:t>
      </w:r>
    </w:p>
    <w:p w14:paraId="663F557C" w14:textId="77777777" w:rsidR="00296E8D" w:rsidRPr="00212EA8" w:rsidRDefault="00296E8D" w:rsidP="00296E8D">
      <w:pPr>
        <w:pStyle w:val="SingleTxtG"/>
      </w:pPr>
      <w:r w:rsidRPr="00212EA8">
        <w:t>63.</w:t>
      </w:r>
      <w:r w:rsidRPr="00212EA8">
        <w:tab/>
        <w:t>Der Ausschuss ist besorgt über</w:t>
      </w:r>
    </w:p>
    <w:p w14:paraId="26BF6F0F" w14:textId="77777777" w:rsidR="00296E8D" w:rsidRPr="00212EA8" w:rsidRDefault="00296E8D" w:rsidP="00296E8D">
      <w:pPr>
        <w:pStyle w:val="SingleTxtG"/>
      </w:pPr>
      <w:r w:rsidRPr="00212EA8">
        <w:tab/>
        <w:t>(a)</w:t>
      </w:r>
      <w:r w:rsidRPr="00212EA8">
        <w:tab/>
        <w:t>das höhere Armutsrisiko von Menschen mit Behinderungen, das Fehlen von Maßnahmen zur Bekämpfung der Armut von Menschen mit Behinderungen und das Fehlen regelmäßiger Forschungsberichte, in denen die systemischen Ursachen der Überschneidung von Armut und Behinderung untersucht werden und die in der Lage sind, die staatlichen Politiken und Pläne angemessen zu informieren;</w:t>
      </w:r>
    </w:p>
    <w:p w14:paraId="19145357" w14:textId="77777777" w:rsidR="00296E8D" w:rsidRPr="00212EA8" w:rsidRDefault="00296E8D" w:rsidP="00296E8D">
      <w:pPr>
        <w:pStyle w:val="SingleTxtG"/>
      </w:pPr>
      <w:r w:rsidRPr="00212EA8">
        <w:tab/>
        <w:t>b)</w:t>
      </w:r>
      <w:r w:rsidRPr="00212EA8">
        <w:tab/>
        <w:t>Unzureichende individuelle Unterstützung, einschließlich finanzieller Unterstützung, für Menschen mit Behinderungen, die älter als 25 Jahre sind und bei ihren Eltern leben;</w:t>
      </w:r>
    </w:p>
    <w:p w14:paraId="3BCDEF9F" w14:textId="77777777" w:rsidR="00296E8D" w:rsidRPr="00212EA8" w:rsidRDefault="00296E8D" w:rsidP="00296E8D">
      <w:pPr>
        <w:pStyle w:val="SingleTxtG"/>
      </w:pPr>
      <w:r w:rsidRPr="00212EA8">
        <w:tab/>
        <w:t>c)</w:t>
      </w:r>
      <w:r w:rsidRPr="00212EA8">
        <w:tab/>
        <w:t>Das System der Eingliederungshilfe</w:t>
      </w:r>
      <w:bookmarkStart w:id="4" w:name="_Hlk144718615"/>
      <w:r w:rsidRPr="00212EA8">
        <w:t>, die durch die Berücksichtigung des Vermögens und des Einkommens von Menschen mit Behinderungen und anderen Haushaltsmitgliedern das gleichberechtigte Sparen mit anderen behindert und die finanzielle Sicherheit älterer Menschen gefährdet.</w:t>
      </w:r>
      <w:bookmarkEnd w:id="4"/>
    </w:p>
    <w:p w14:paraId="666E7762" w14:textId="77777777" w:rsidR="00296E8D" w:rsidRPr="00212EA8" w:rsidRDefault="00296E8D" w:rsidP="00296E8D">
      <w:pPr>
        <w:pStyle w:val="SingleTxtG"/>
        <w:rPr>
          <w:b/>
          <w:bCs/>
        </w:rPr>
      </w:pPr>
      <w:r w:rsidRPr="00212EA8">
        <w:t>64.</w:t>
      </w:r>
      <w:r w:rsidRPr="00212EA8">
        <w:rPr>
          <w:b/>
          <w:bCs/>
        </w:rPr>
        <w:tab/>
        <w:t>Der Ausschuss empfiehlt dem Vertragsstaat,</w:t>
      </w:r>
    </w:p>
    <w:p w14:paraId="36E6D586" w14:textId="77777777" w:rsidR="00296E8D" w:rsidRPr="00212EA8" w:rsidRDefault="00296E8D" w:rsidP="00296E8D">
      <w:pPr>
        <w:pStyle w:val="SingleTxtG"/>
        <w:rPr>
          <w:b/>
          <w:bCs/>
        </w:rPr>
      </w:pPr>
      <w:r w:rsidRPr="00212EA8">
        <w:rPr>
          <w:b/>
          <w:bCs/>
        </w:rPr>
        <w:tab/>
      </w:r>
      <w:r w:rsidRPr="00212EA8">
        <w:t>(a)</w:t>
      </w:r>
      <w:r w:rsidRPr="00212EA8">
        <w:rPr>
          <w:b/>
          <w:bCs/>
        </w:rPr>
        <w:tab/>
        <w:t>alle erforderlichen Maßnahmen zu ergreifen, um dem erhöhten Armutsrisiko von Menschen mit Behinderungen und Behinderungen in allen Studien, Forschungen, Strategien und Plänen im Zusammenhang mit der Armutsbekämpfung entgegenzuwirken;</w:t>
      </w:r>
    </w:p>
    <w:p w14:paraId="509A573C" w14:textId="77777777" w:rsidR="00296E8D" w:rsidRPr="00212EA8" w:rsidRDefault="00296E8D" w:rsidP="00296E8D">
      <w:pPr>
        <w:pStyle w:val="SingleTxtG"/>
        <w:rPr>
          <w:b/>
          <w:bCs/>
        </w:rPr>
      </w:pPr>
      <w:r w:rsidRPr="00212EA8">
        <w:rPr>
          <w:b/>
          <w:bCs/>
        </w:rPr>
        <w:tab/>
      </w:r>
      <w:r w:rsidRPr="00212EA8">
        <w:t>b)</w:t>
      </w:r>
      <w:r w:rsidRPr="00212EA8">
        <w:tab/>
      </w:r>
      <w:r w:rsidRPr="00212EA8">
        <w:rPr>
          <w:b/>
          <w:bCs/>
        </w:rPr>
        <w:t>Überarbeitung der Regeln für die Leistungsbewertung von Menschen mit Behinderungen, um dem individuellen Unterstützungsbedarf von Menschen mit Behinderungen gerecht zu werden;</w:t>
      </w:r>
    </w:p>
    <w:p w14:paraId="4C1185AB" w14:textId="77777777" w:rsidR="00296E8D" w:rsidRPr="00212EA8" w:rsidRDefault="00296E8D" w:rsidP="00296E8D">
      <w:pPr>
        <w:pStyle w:val="SingleTxtG"/>
        <w:rPr>
          <w:b/>
          <w:bCs/>
        </w:rPr>
      </w:pPr>
      <w:r w:rsidRPr="00212EA8">
        <w:rPr>
          <w:b/>
          <w:bCs/>
        </w:rPr>
        <w:tab/>
      </w:r>
      <w:r w:rsidRPr="00212EA8">
        <w:t>c)</w:t>
      </w:r>
      <w:r w:rsidRPr="00212EA8">
        <w:rPr>
          <w:b/>
          <w:bCs/>
        </w:rPr>
        <w:tab/>
        <w:t>Überarbeitung der Leistungen der Eingliederungshilfe für Menschen mit Behinderungen, um gleichberechtigtes Sparen mit anderen zu ermöglichen und ihre finanzielle Absicherung im Alter zu gewährleisten.</w:t>
      </w:r>
    </w:p>
    <w:bookmarkEnd w:id="3"/>
    <w:p w14:paraId="5741C809" w14:textId="77777777" w:rsidR="00296E8D" w:rsidRPr="00212EA8" w:rsidRDefault="00296E8D" w:rsidP="00296E8D">
      <w:pPr>
        <w:pStyle w:val="H23G"/>
      </w:pPr>
      <w:r w:rsidRPr="00212EA8">
        <w:tab/>
      </w:r>
      <w:r w:rsidRPr="00212EA8">
        <w:tab/>
        <w:t>Teilhabe am politischen und öffentlichen Leben (Art. 29)</w:t>
      </w:r>
    </w:p>
    <w:p w14:paraId="11A3F616" w14:textId="77777777" w:rsidR="00296E8D" w:rsidRPr="00212EA8" w:rsidRDefault="00296E8D" w:rsidP="00296E8D">
      <w:pPr>
        <w:pStyle w:val="SingleTxtG"/>
      </w:pPr>
      <w:r w:rsidRPr="00212EA8">
        <w:t>65.</w:t>
      </w:r>
      <w:r w:rsidRPr="00212EA8">
        <w:tab/>
        <w:t>Der Ausschuss ist besorgt über</w:t>
      </w:r>
    </w:p>
    <w:p w14:paraId="5A246449" w14:textId="77777777" w:rsidR="00296E8D" w:rsidRPr="00212EA8" w:rsidRDefault="00296E8D" w:rsidP="00296E8D">
      <w:pPr>
        <w:pStyle w:val="SingleTxtG"/>
      </w:pPr>
      <w:r w:rsidRPr="00212EA8">
        <w:tab/>
        <w:t>(a)</w:t>
      </w:r>
      <w:r w:rsidRPr="00212EA8">
        <w:tab/>
        <w:t>das Fehlen angemessener Vorkehrungen, insbesondere des Gebärdensprachdolmetschens, in politischen Parteien und Gewerkschaften, das die Teilnahme von gehörlosen oder schwerhörigen Personen behindert;</w:t>
      </w:r>
    </w:p>
    <w:p w14:paraId="41282A7F" w14:textId="77777777" w:rsidR="00296E8D" w:rsidRPr="00212EA8" w:rsidRDefault="00296E8D" w:rsidP="00296E8D">
      <w:pPr>
        <w:pStyle w:val="SingleTxtG"/>
      </w:pPr>
      <w:r w:rsidRPr="00212EA8">
        <w:tab/>
        <w:t>b)</w:t>
      </w:r>
      <w:r w:rsidRPr="00212EA8">
        <w:tab/>
        <w:t>die geringe Beteiligung von Frauen mit Behinderungen am politischen und öffentlichen Leben und der Mangel an Daten, die Hindernisse für ihre Teilhabe aufzeigen;</w:t>
      </w:r>
    </w:p>
    <w:p w14:paraId="3CF32C25" w14:textId="77777777" w:rsidR="00296E8D" w:rsidRPr="00212EA8" w:rsidRDefault="00296E8D" w:rsidP="00296E8D">
      <w:pPr>
        <w:pStyle w:val="SingleTxtG"/>
      </w:pPr>
      <w:r w:rsidRPr="00212EA8">
        <w:tab/>
        <w:t>c)</w:t>
      </w:r>
      <w:r w:rsidRPr="00212EA8">
        <w:tab/>
        <w:t>Die mangelnde Zugänglichkeit der Wahllokale, insbesondere in ländlichen Gebieten.</w:t>
      </w:r>
    </w:p>
    <w:p w14:paraId="57F15165" w14:textId="77777777" w:rsidR="00296E8D" w:rsidRPr="00212EA8" w:rsidRDefault="00296E8D" w:rsidP="00296E8D">
      <w:pPr>
        <w:pStyle w:val="SingleTxtG"/>
        <w:rPr>
          <w:b/>
          <w:bCs/>
        </w:rPr>
      </w:pPr>
      <w:r w:rsidRPr="00212EA8">
        <w:t>66.</w:t>
      </w:r>
      <w:r w:rsidRPr="00212EA8">
        <w:rPr>
          <w:b/>
          <w:bCs/>
        </w:rPr>
        <w:tab/>
        <w:t>Der Ausschuss empfiehlt dem Vertragsstaat,</w:t>
      </w:r>
    </w:p>
    <w:p w14:paraId="5FCC743E" w14:textId="77777777" w:rsidR="00296E8D" w:rsidRPr="00212EA8" w:rsidRDefault="00296E8D" w:rsidP="00296E8D">
      <w:pPr>
        <w:pStyle w:val="SingleTxtG"/>
        <w:rPr>
          <w:b/>
          <w:bCs/>
        </w:rPr>
      </w:pPr>
      <w:r w:rsidRPr="00212EA8">
        <w:rPr>
          <w:b/>
          <w:bCs/>
        </w:rPr>
        <w:tab/>
      </w:r>
      <w:r w:rsidRPr="00212EA8">
        <w:t>(a)</w:t>
      </w:r>
      <w:r w:rsidRPr="00212EA8">
        <w:rPr>
          <w:b/>
          <w:bCs/>
        </w:rPr>
        <w:tab/>
        <w:t xml:space="preserve">Maßnahmen zu ergreifen, um die Barrierefreiheit und angemessene Vorkehrungen, einschließlich Gebärdensprachdolmetschen, für Menschen mit Behinderungen in politischen Parteien und Gewerkschaften zu gewährleisten; </w:t>
      </w:r>
    </w:p>
    <w:p w14:paraId="41946596" w14:textId="77777777" w:rsidR="00296E8D" w:rsidRPr="00212EA8" w:rsidRDefault="00296E8D" w:rsidP="00296E8D">
      <w:pPr>
        <w:pStyle w:val="SingleTxtG"/>
        <w:rPr>
          <w:b/>
          <w:bCs/>
        </w:rPr>
      </w:pPr>
      <w:r w:rsidRPr="00212EA8">
        <w:rPr>
          <w:b/>
          <w:bCs/>
        </w:rPr>
        <w:tab/>
      </w:r>
      <w:r w:rsidRPr="00212EA8">
        <w:t>b)</w:t>
      </w:r>
      <w:r w:rsidRPr="00212EA8">
        <w:rPr>
          <w:b/>
          <w:bCs/>
        </w:rPr>
        <w:tab/>
        <w:t xml:space="preserve">in enger Abstimmung mit Frauen mit Behinderungen und ihren Vertretungsorganisationen die erforderlichen Ressourcen für die Durchführung von Forschungsarbeiten über Hindernisse bereitzustellen, die die Teilnahme und Beteiligung von Frauen mit Behinderungen am öffentlichen Leben verhindern, und Programme zur Entwicklung von Kapazitäten zu fördern; </w:t>
      </w:r>
    </w:p>
    <w:p w14:paraId="7509F704" w14:textId="77777777" w:rsidR="00296E8D" w:rsidRPr="00212EA8" w:rsidRDefault="00296E8D" w:rsidP="00296E8D">
      <w:pPr>
        <w:pStyle w:val="SingleTxtG"/>
        <w:rPr>
          <w:b/>
          <w:bCs/>
        </w:rPr>
      </w:pPr>
      <w:r w:rsidRPr="00212EA8">
        <w:rPr>
          <w:b/>
          <w:bCs/>
        </w:rPr>
        <w:tab/>
      </w:r>
      <w:r w:rsidRPr="00212EA8">
        <w:t>c)</w:t>
      </w:r>
      <w:r w:rsidRPr="00212EA8">
        <w:rPr>
          <w:b/>
          <w:bCs/>
        </w:rPr>
        <w:tab/>
        <w:t xml:space="preserve">Gewährleistung der Zugänglichkeit von Wahlmaterial und Wahllokalen, insbesondere in ländlichen Gebieten, länderübergreifend und bei der Entwicklung elektronischer Wahlsysteme. </w:t>
      </w:r>
    </w:p>
    <w:p w14:paraId="1A565841" w14:textId="77777777" w:rsidR="00296E8D" w:rsidRPr="00212EA8" w:rsidRDefault="00296E8D" w:rsidP="00296E8D">
      <w:pPr>
        <w:pStyle w:val="H23G"/>
      </w:pPr>
      <w:r w:rsidRPr="00212EA8">
        <w:lastRenderedPageBreak/>
        <w:tab/>
      </w:r>
      <w:r w:rsidRPr="00212EA8">
        <w:tab/>
        <w:t>Teilnahme am kulturellen Leben, an Erholung, Freizeit und Sport (Art. 30)</w:t>
      </w:r>
    </w:p>
    <w:p w14:paraId="7D847C91" w14:textId="77777777" w:rsidR="00296E8D" w:rsidRPr="00212EA8" w:rsidRDefault="00296E8D" w:rsidP="00296E8D">
      <w:pPr>
        <w:pStyle w:val="SingleTxtG"/>
      </w:pPr>
      <w:r w:rsidRPr="00212EA8">
        <w:t>67.</w:t>
      </w:r>
      <w:r w:rsidRPr="00212EA8">
        <w:tab/>
        <w:t>Der Ausschuss ist besorgt über</w:t>
      </w:r>
    </w:p>
    <w:p w14:paraId="5EABC767" w14:textId="77777777" w:rsidR="00296E8D" w:rsidRPr="00212EA8" w:rsidRDefault="00296E8D" w:rsidP="00296E8D">
      <w:pPr>
        <w:pStyle w:val="SingleTxtG"/>
      </w:pPr>
      <w:r w:rsidRPr="00212EA8">
        <w:tab/>
        <w:t>(a)</w:t>
      </w:r>
      <w:r w:rsidRPr="00212EA8">
        <w:tab/>
        <w:t>Die mangelnde Zugänglichkeit von öffentlichen Bibliotheken, Museen und touristischen Gebieten und Denkmälern;</w:t>
      </w:r>
    </w:p>
    <w:p w14:paraId="7F0D96A7" w14:textId="77777777" w:rsidR="00296E8D" w:rsidRPr="00212EA8" w:rsidRDefault="00296E8D" w:rsidP="00296E8D">
      <w:pPr>
        <w:pStyle w:val="SingleTxtG"/>
      </w:pPr>
      <w:r w:rsidRPr="00212EA8">
        <w:tab/>
        <w:t>b)</w:t>
      </w:r>
      <w:r w:rsidRPr="00212EA8">
        <w:tab/>
        <w:t>Hindernisse, auf die Menschen mit Behinderungen stoßen, wenn es darum geht, persönliche Assistenzdienste in Anspruch zu nehmen, die für die Ausübung des Rechts auf Sport und Unterhaltung erforderlich sind;</w:t>
      </w:r>
    </w:p>
    <w:p w14:paraId="47597583" w14:textId="77777777" w:rsidR="00296E8D" w:rsidRPr="00212EA8" w:rsidRDefault="00296E8D" w:rsidP="00296E8D">
      <w:pPr>
        <w:pStyle w:val="SingleTxtG"/>
      </w:pPr>
      <w:r w:rsidRPr="00212EA8">
        <w:tab/>
        <w:t>c)</w:t>
      </w:r>
      <w:r w:rsidRPr="00212EA8">
        <w:tab/>
        <w:t xml:space="preserve">das Fehlen von Politiken und Programmen zur Förderung der kulturellen und sprachlichen Identität von Gehörlosen; </w:t>
      </w:r>
    </w:p>
    <w:p w14:paraId="4DFDEB58" w14:textId="77777777" w:rsidR="00296E8D" w:rsidRPr="00212EA8" w:rsidRDefault="00296E8D" w:rsidP="00296E8D">
      <w:pPr>
        <w:pStyle w:val="SingleTxtG"/>
      </w:pPr>
      <w:r w:rsidRPr="00212EA8">
        <w:tab/>
        <w:t>d)</w:t>
      </w:r>
      <w:r w:rsidRPr="00212EA8">
        <w:tab/>
        <w:t>Der Mangel an Inklusivität und Zugänglichkeit in einigen Fakultäten für kreative Künste;</w:t>
      </w:r>
    </w:p>
    <w:p w14:paraId="213A771F" w14:textId="77777777" w:rsidR="00296E8D" w:rsidRPr="00212EA8" w:rsidRDefault="00296E8D" w:rsidP="00296E8D">
      <w:pPr>
        <w:pStyle w:val="SingleTxtG"/>
      </w:pPr>
      <w:r w:rsidRPr="00212EA8">
        <w:tab/>
      </w:r>
      <w:bookmarkStart w:id="5" w:name="_Hlk144719678"/>
      <w:r w:rsidRPr="00212EA8">
        <w:t>e)</w:t>
      </w:r>
      <w:r w:rsidRPr="00212EA8">
        <w:tab/>
        <w:t>Das Fehlen von Maßnahmen zur Förderung der kulturellen Vielfalt in der Gesellschaft</w:t>
      </w:r>
      <w:bookmarkStart w:id="6" w:name="_Hlk144724474"/>
      <w:r w:rsidRPr="00212EA8">
        <w:t>, insbesondere im Hinblick auf den Beitrag von Geflüchteten mit Behinderungen zur Vielfalt.</w:t>
      </w:r>
      <w:bookmarkEnd w:id="6"/>
    </w:p>
    <w:bookmarkEnd w:id="5"/>
    <w:p w14:paraId="5AF8A62B" w14:textId="77777777" w:rsidR="00296E8D" w:rsidRPr="00212EA8" w:rsidRDefault="00296E8D" w:rsidP="00296E8D">
      <w:pPr>
        <w:pStyle w:val="SingleTxtG"/>
        <w:rPr>
          <w:b/>
          <w:bCs/>
        </w:rPr>
      </w:pPr>
      <w:r w:rsidRPr="00212EA8">
        <w:t>68.</w:t>
      </w:r>
      <w:r w:rsidRPr="00212EA8">
        <w:rPr>
          <w:b/>
          <w:bCs/>
        </w:rPr>
        <w:tab/>
        <w:t>Der Ausschuss empfiehlt dem Vertragsstaat,</w:t>
      </w:r>
    </w:p>
    <w:p w14:paraId="100BAB85" w14:textId="77777777" w:rsidR="00296E8D" w:rsidRPr="00212EA8" w:rsidRDefault="00296E8D" w:rsidP="00296E8D">
      <w:pPr>
        <w:pStyle w:val="SingleTxtG"/>
        <w:rPr>
          <w:b/>
          <w:bCs/>
        </w:rPr>
      </w:pPr>
      <w:r w:rsidRPr="00212EA8">
        <w:rPr>
          <w:b/>
          <w:bCs/>
        </w:rPr>
        <w:tab/>
      </w:r>
      <w:r w:rsidRPr="00212EA8">
        <w:t>(a)</w:t>
      </w:r>
      <w:r w:rsidRPr="00212EA8">
        <w:rPr>
          <w:b/>
          <w:bCs/>
        </w:rPr>
        <w:tab/>
        <w:t>Stärkung der Mechanismen, mit denen sichergestellt wird, dass Sport-, Freizeit-, Kultur- und Tourismuseinrichtungen für Menschen mit Behinderungen zugänglich sind;</w:t>
      </w:r>
    </w:p>
    <w:p w14:paraId="2ABFD660" w14:textId="77777777" w:rsidR="00296E8D" w:rsidRPr="00212EA8" w:rsidRDefault="00296E8D" w:rsidP="00296E8D">
      <w:pPr>
        <w:pStyle w:val="SingleTxtG"/>
        <w:rPr>
          <w:b/>
          <w:bCs/>
        </w:rPr>
      </w:pPr>
      <w:r w:rsidRPr="00212EA8">
        <w:rPr>
          <w:b/>
          <w:bCs/>
        </w:rPr>
        <w:tab/>
      </w:r>
      <w:r w:rsidRPr="00212EA8">
        <w:t>b)</w:t>
      </w:r>
      <w:r w:rsidRPr="00212EA8">
        <w:rPr>
          <w:b/>
          <w:bCs/>
        </w:rPr>
        <w:tab/>
        <w:t>sicherzustellen, dass Menschen mit Behinderungen kostenlosen Zugang zu persönlicher Assistenz haben, um Sport zu treiben und an kulturellen und sozialen Aktivitäten teilzunehmen;</w:t>
      </w:r>
    </w:p>
    <w:p w14:paraId="1C8FD82D" w14:textId="77777777" w:rsidR="00296E8D" w:rsidRPr="00212EA8" w:rsidRDefault="00296E8D" w:rsidP="00296E8D">
      <w:pPr>
        <w:pStyle w:val="SingleTxtG"/>
        <w:rPr>
          <w:b/>
          <w:bCs/>
        </w:rPr>
      </w:pPr>
      <w:r w:rsidRPr="00212EA8">
        <w:rPr>
          <w:b/>
          <w:bCs/>
        </w:rPr>
        <w:tab/>
      </w:r>
      <w:r w:rsidRPr="00212EA8">
        <w:t>c)</w:t>
      </w:r>
      <w:r w:rsidRPr="00212EA8">
        <w:rPr>
          <w:b/>
          <w:bCs/>
        </w:rPr>
        <w:tab/>
        <w:t>Förderung der kulturellen und sprachlichen Identität von Gehörlosen unter Beteiligung ihrer Vertretungsorganisationen in Lehrplänen, Medien und gesellschaftlichen Veranstaltungen;</w:t>
      </w:r>
    </w:p>
    <w:p w14:paraId="5564EBC5" w14:textId="77777777" w:rsidR="00296E8D" w:rsidRPr="00212EA8" w:rsidRDefault="00296E8D" w:rsidP="00296E8D">
      <w:pPr>
        <w:pStyle w:val="SingleTxtG"/>
        <w:rPr>
          <w:b/>
          <w:bCs/>
        </w:rPr>
      </w:pPr>
      <w:r w:rsidRPr="00212EA8">
        <w:rPr>
          <w:b/>
          <w:bCs/>
        </w:rPr>
        <w:tab/>
      </w:r>
      <w:r w:rsidRPr="00212EA8">
        <w:t>d)</w:t>
      </w:r>
      <w:r w:rsidRPr="00212EA8">
        <w:rPr>
          <w:b/>
          <w:bCs/>
        </w:rPr>
        <w:tab/>
        <w:t xml:space="preserve">In enger Abstimmung mit und </w:t>
      </w:r>
      <w:r w:rsidRPr="00212EA8">
        <w:rPr>
          <w:b/>
        </w:rPr>
        <w:t xml:space="preserve">mit dem </w:t>
      </w:r>
      <w:r w:rsidRPr="00212EA8">
        <w:rPr>
          <w:b/>
          <w:bCs/>
        </w:rPr>
        <w:t>aktive Einbeziehung von Menschen mit Behinderungen und ihrer Vertretungsorganisationen, Förderung der Inklusion und Zugänglichkeit aller Studiengänge der kreativen Künste;</w:t>
      </w:r>
    </w:p>
    <w:p w14:paraId="1BB5D1F7" w14:textId="77777777" w:rsidR="00296E8D" w:rsidRPr="00212EA8" w:rsidRDefault="00296E8D" w:rsidP="00296E8D">
      <w:pPr>
        <w:pStyle w:val="SingleTxtG"/>
        <w:rPr>
          <w:b/>
          <w:bCs/>
        </w:rPr>
      </w:pPr>
      <w:r w:rsidRPr="00212EA8">
        <w:rPr>
          <w:b/>
          <w:bCs/>
        </w:rPr>
        <w:tab/>
      </w:r>
      <w:bookmarkStart w:id="7" w:name="_Hlk144719697"/>
      <w:r w:rsidRPr="00212EA8">
        <w:t>e)</w:t>
      </w:r>
      <w:r w:rsidRPr="00212EA8">
        <w:rPr>
          <w:b/>
          <w:bCs/>
        </w:rPr>
        <w:tab/>
        <w:t>Förderung der kulturellen Vielfalt in der Gesellschaft und des Beitrags von Geflüchteten mit Behinderungen zur Vielfalt.</w:t>
      </w:r>
    </w:p>
    <w:bookmarkEnd w:id="7"/>
    <w:p w14:paraId="2944ABB3" w14:textId="77777777" w:rsidR="00296E8D" w:rsidRPr="00212EA8" w:rsidRDefault="00296E8D" w:rsidP="00296E8D">
      <w:pPr>
        <w:pStyle w:val="H1G"/>
      </w:pPr>
      <w:r w:rsidRPr="00212EA8">
        <w:tab/>
        <w:t>C.</w:t>
      </w:r>
      <w:r w:rsidRPr="00212EA8">
        <w:tab/>
        <w:t>Besondere Pflichten (Art. 31–33)</w:t>
      </w:r>
    </w:p>
    <w:p w14:paraId="4A7BC9FE" w14:textId="77777777" w:rsidR="00296E8D" w:rsidRPr="00212EA8" w:rsidRDefault="00296E8D" w:rsidP="00296E8D">
      <w:pPr>
        <w:pStyle w:val="H23G"/>
      </w:pPr>
      <w:r w:rsidRPr="00212EA8">
        <w:tab/>
      </w:r>
      <w:r w:rsidRPr="00212EA8">
        <w:tab/>
        <w:t>Statistik und Datenerhebung (Art. 31)</w:t>
      </w:r>
    </w:p>
    <w:p w14:paraId="0A00F88F" w14:textId="77777777" w:rsidR="00296E8D" w:rsidRPr="00212EA8" w:rsidRDefault="00296E8D" w:rsidP="00296E8D">
      <w:pPr>
        <w:pStyle w:val="SingleTxtG"/>
      </w:pPr>
      <w:r w:rsidRPr="00212EA8">
        <w:t>69.</w:t>
      </w:r>
      <w:r w:rsidRPr="00212EA8">
        <w:tab/>
        <w:t>Der Ausschuss ist besorgt über</w:t>
      </w:r>
    </w:p>
    <w:p w14:paraId="624C2CE9" w14:textId="77777777" w:rsidR="00296E8D" w:rsidRPr="00212EA8" w:rsidRDefault="00296E8D" w:rsidP="00296E8D">
      <w:pPr>
        <w:pStyle w:val="SingleTxtG"/>
      </w:pPr>
      <w:r w:rsidRPr="00212EA8">
        <w:tab/>
        <w:t>(a)</w:t>
      </w:r>
      <w:r w:rsidRPr="00212EA8">
        <w:tab/>
        <w:t>die Wirksamkeit der Mikrozensus-Methode, die in der Behindertenstatistik verwendet wird, und das Ausmaß, in dem diese Methode die Zahl der Flüchtlinge mit Behinderungen im Land widerspiegelt;</w:t>
      </w:r>
    </w:p>
    <w:p w14:paraId="1F63D1DF" w14:textId="77777777" w:rsidR="00296E8D" w:rsidRPr="00212EA8" w:rsidRDefault="00296E8D" w:rsidP="00296E8D">
      <w:pPr>
        <w:pStyle w:val="SingleTxtG"/>
      </w:pPr>
      <w:r w:rsidRPr="00212EA8">
        <w:tab/>
        <w:t>b)</w:t>
      </w:r>
      <w:r w:rsidRPr="00212EA8">
        <w:tab/>
        <w:t>Das medizinische Modell reflektiert die Behinderungsstatistik, insbesondere die Kriterien zur Klassifizierung und Unterscheidung zwischen schwerer, mittelschwerer und leichter Behinderung.</w:t>
      </w:r>
    </w:p>
    <w:p w14:paraId="537708B7" w14:textId="77777777" w:rsidR="00296E8D" w:rsidRPr="00212EA8" w:rsidRDefault="00296E8D" w:rsidP="00296E8D">
      <w:pPr>
        <w:pStyle w:val="SingleTxtG"/>
        <w:rPr>
          <w:b/>
          <w:bCs/>
        </w:rPr>
      </w:pPr>
      <w:r w:rsidRPr="00212EA8">
        <w:t>70.</w:t>
      </w:r>
      <w:r w:rsidRPr="00212EA8">
        <w:rPr>
          <w:b/>
          <w:bCs/>
        </w:rPr>
        <w:tab/>
        <w:t>Der Ausschuss empfiehlt dem Vertragsstaat,</w:t>
      </w:r>
    </w:p>
    <w:p w14:paraId="189630DF" w14:textId="77777777" w:rsidR="00296E8D" w:rsidRPr="00212EA8" w:rsidRDefault="00296E8D" w:rsidP="00296E8D">
      <w:pPr>
        <w:pStyle w:val="SingleTxtG"/>
        <w:rPr>
          <w:b/>
          <w:bCs/>
        </w:rPr>
      </w:pPr>
      <w:r w:rsidRPr="00212EA8">
        <w:rPr>
          <w:b/>
          <w:bCs/>
        </w:rPr>
        <w:tab/>
      </w:r>
      <w:r w:rsidRPr="00212EA8">
        <w:t>(a)</w:t>
      </w:r>
      <w:r w:rsidRPr="00212EA8">
        <w:rPr>
          <w:b/>
          <w:bCs/>
        </w:rPr>
        <w:tab/>
        <w:t>sicherzustellen, dass öffentliche und thematische Volkszählungen inklusiv und behindertengerecht sind, indem geeignete Datenerhebungsmethoden wie die Fragen der Washington Group on Disability Statistics verwendet und Fragen aufgenommen werden, um spezifische Daten über Flüchtlinge mit Behinderungen zu erhalten;</w:t>
      </w:r>
    </w:p>
    <w:p w14:paraId="54DD8D10" w14:textId="77777777" w:rsidR="00296E8D" w:rsidRPr="00212EA8" w:rsidRDefault="00296E8D" w:rsidP="00296E8D">
      <w:pPr>
        <w:pStyle w:val="SingleTxtG"/>
        <w:rPr>
          <w:b/>
          <w:bCs/>
        </w:rPr>
      </w:pPr>
      <w:r w:rsidRPr="00212EA8">
        <w:rPr>
          <w:b/>
          <w:bCs/>
        </w:rPr>
        <w:tab/>
      </w:r>
      <w:r w:rsidRPr="00212EA8">
        <w:t>b)</w:t>
      </w:r>
      <w:r w:rsidRPr="00212EA8">
        <w:rPr>
          <w:b/>
          <w:bCs/>
        </w:rPr>
        <w:tab/>
        <w:t>Verabschiedung menschenrechtsbasierter Standards zur Identifizierung und Klassifizierung der verschiedenen Arten von Behinderungen.</w:t>
      </w:r>
    </w:p>
    <w:p w14:paraId="5279858A" w14:textId="77777777" w:rsidR="00296E8D" w:rsidRPr="00212EA8" w:rsidRDefault="00296E8D" w:rsidP="00296E8D">
      <w:pPr>
        <w:pStyle w:val="H23G"/>
      </w:pPr>
      <w:r w:rsidRPr="00212EA8">
        <w:lastRenderedPageBreak/>
        <w:tab/>
      </w:r>
      <w:r w:rsidRPr="00212EA8">
        <w:tab/>
        <w:t>Internationale Zusammenarbeit (Art. 32)</w:t>
      </w:r>
    </w:p>
    <w:p w14:paraId="1B04DA19" w14:textId="77777777" w:rsidR="00296E8D" w:rsidRPr="00212EA8" w:rsidRDefault="00296E8D" w:rsidP="00296E8D">
      <w:pPr>
        <w:pStyle w:val="SingleTxtG"/>
      </w:pPr>
      <w:r w:rsidRPr="00212EA8">
        <w:t>71.</w:t>
      </w:r>
      <w:r w:rsidRPr="00212EA8">
        <w:tab/>
        <w:t>Der Ausschuss ist besorgt über</w:t>
      </w:r>
    </w:p>
    <w:p w14:paraId="242FB831" w14:textId="77777777" w:rsidR="00296E8D" w:rsidRPr="00212EA8" w:rsidRDefault="00296E8D" w:rsidP="00296E8D">
      <w:pPr>
        <w:pStyle w:val="SingleTxtG"/>
      </w:pPr>
      <w:r w:rsidRPr="00212EA8">
        <w:tab/>
        <w:t>(a)</w:t>
      </w:r>
      <w:r w:rsidRPr="00212EA8">
        <w:tab/>
        <w:t>die mangelnde Einbeziehung von Projekten, die in Entwicklungsländern finanziert werden, und die begrenzten Budgets für die Finanzierung von behindertenspezifischen Projekten;</w:t>
      </w:r>
    </w:p>
    <w:p w14:paraId="55B9F1BD" w14:textId="77777777" w:rsidR="00296E8D" w:rsidRPr="00212EA8" w:rsidRDefault="00296E8D" w:rsidP="00296E8D">
      <w:pPr>
        <w:pStyle w:val="SingleTxtG"/>
      </w:pPr>
      <w:r w:rsidRPr="00212EA8">
        <w:tab/>
        <w:t>b)</w:t>
      </w:r>
      <w:r w:rsidRPr="00212EA8">
        <w:tab/>
        <w:t>das Fehlen einer wirksamen Konsultation von Menschen mit Behinderungen und ihrer Vertretungsorganisationen bei der Ermittlung nationaler Prioritäten und Themen, die in ihren Ländern finanziert werden;</w:t>
      </w:r>
    </w:p>
    <w:p w14:paraId="597BB381" w14:textId="77777777" w:rsidR="00296E8D" w:rsidRPr="00212EA8" w:rsidRDefault="00296E8D" w:rsidP="00296E8D">
      <w:pPr>
        <w:pStyle w:val="SingleTxtG"/>
      </w:pPr>
      <w:r w:rsidRPr="00212EA8">
        <w:tab/>
        <w:t>c)</w:t>
      </w:r>
      <w:r w:rsidRPr="00212EA8">
        <w:tab/>
        <w:t>Das Fehlen genauer Indikatoren, um sicherzustellen, dass die internationalen Mittel im Einklang mit dem Übereinkommen, seinem Zweck und seinen allgemeinen Grundsätzen sowie den Zielen für nachhaltige Entwicklung verwendet werden.</w:t>
      </w:r>
    </w:p>
    <w:p w14:paraId="79A23F84" w14:textId="77777777" w:rsidR="00296E8D" w:rsidRPr="00212EA8" w:rsidRDefault="00296E8D" w:rsidP="00296E8D">
      <w:pPr>
        <w:pStyle w:val="SingleTxtG"/>
        <w:rPr>
          <w:b/>
          <w:bCs/>
        </w:rPr>
      </w:pPr>
      <w:r w:rsidRPr="00212EA8">
        <w:t>72.</w:t>
      </w:r>
      <w:r w:rsidRPr="00212EA8">
        <w:rPr>
          <w:b/>
          <w:bCs/>
        </w:rPr>
        <w:tab/>
        <w:t>Der Ausschuss empfiehlt dem Vertragsstaat,</w:t>
      </w:r>
    </w:p>
    <w:p w14:paraId="606B9B1E" w14:textId="77777777" w:rsidR="00296E8D" w:rsidRPr="00212EA8" w:rsidRDefault="00296E8D" w:rsidP="00296E8D">
      <w:pPr>
        <w:pStyle w:val="SingleTxtG"/>
        <w:rPr>
          <w:b/>
          <w:bCs/>
        </w:rPr>
      </w:pPr>
      <w:r w:rsidRPr="00212EA8">
        <w:rPr>
          <w:b/>
          <w:bCs/>
        </w:rPr>
        <w:tab/>
      </w:r>
      <w:r w:rsidRPr="00212EA8">
        <w:t>(a)</w:t>
      </w:r>
      <w:r w:rsidRPr="00212EA8">
        <w:rPr>
          <w:b/>
          <w:bCs/>
        </w:rPr>
        <w:tab/>
        <w:t>sicherzustellen, dass die Einbeziehung eine Vorbedingung für die Genehmigung von Projekten ist, die im Rahmen von Programmen der internationalen Zusammenarbeit finanziert werden;</w:t>
      </w:r>
    </w:p>
    <w:p w14:paraId="1B2ACAF5" w14:textId="77777777" w:rsidR="00296E8D" w:rsidRPr="00212EA8" w:rsidRDefault="00296E8D" w:rsidP="00296E8D">
      <w:pPr>
        <w:pStyle w:val="SingleTxtG"/>
        <w:rPr>
          <w:b/>
          <w:bCs/>
        </w:rPr>
      </w:pPr>
      <w:r w:rsidRPr="00212EA8">
        <w:rPr>
          <w:b/>
          <w:bCs/>
        </w:rPr>
        <w:tab/>
      </w:r>
      <w:r w:rsidRPr="00212EA8">
        <w:t>b)</w:t>
      </w:r>
      <w:r w:rsidRPr="00212EA8">
        <w:rPr>
          <w:b/>
          <w:bCs/>
        </w:rPr>
        <w:tab/>
        <w:t>Konsultation von Menschen mit Behinderungen und ihrer Vertretungsorganisationen über die zu unterstützenden nationalen Prioritäten und Themen und Einbeziehung dieser Personen in alle Phasen der finanzierten Projekte;</w:t>
      </w:r>
    </w:p>
    <w:p w14:paraId="53B8D28C" w14:textId="77777777" w:rsidR="00296E8D" w:rsidRPr="00212EA8" w:rsidRDefault="00296E8D" w:rsidP="00296E8D">
      <w:pPr>
        <w:pStyle w:val="SingleTxtG"/>
        <w:rPr>
          <w:b/>
          <w:bCs/>
        </w:rPr>
      </w:pPr>
      <w:r w:rsidRPr="00212EA8">
        <w:rPr>
          <w:b/>
          <w:bCs/>
        </w:rPr>
        <w:tab/>
      </w:r>
      <w:r w:rsidRPr="00212EA8">
        <w:t>c)</w:t>
      </w:r>
      <w:r w:rsidRPr="00212EA8">
        <w:rPr>
          <w:b/>
          <w:bCs/>
        </w:rPr>
        <w:tab/>
        <w:t>Entwicklung von Indikatoren, um sicherzustellen, dass die Ziele und Aktivitäten der geförderten Projekte im Einklang mit der Konvention und den Zielen für nachhaltige Entwicklung stehen.</w:t>
      </w:r>
    </w:p>
    <w:p w14:paraId="747231E1" w14:textId="77777777" w:rsidR="00296E8D" w:rsidRPr="00212EA8" w:rsidRDefault="00296E8D" w:rsidP="00296E8D">
      <w:pPr>
        <w:pStyle w:val="H23G"/>
      </w:pPr>
      <w:r w:rsidRPr="00212EA8">
        <w:tab/>
      </w:r>
      <w:r w:rsidRPr="00212EA8">
        <w:tab/>
        <w:t>Nationale Umsetzung und Überwachung (Art. 33)</w:t>
      </w:r>
    </w:p>
    <w:p w14:paraId="5BF06997" w14:textId="77777777" w:rsidR="00296E8D" w:rsidRPr="00212EA8" w:rsidRDefault="00296E8D" w:rsidP="00296E8D">
      <w:pPr>
        <w:pStyle w:val="SingleTxtG"/>
      </w:pPr>
      <w:r w:rsidRPr="00212EA8">
        <w:t>73.</w:t>
      </w:r>
      <w:r w:rsidRPr="00212EA8">
        <w:tab/>
        <w:t>Der Ausschuss ist besorgt über</w:t>
      </w:r>
    </w:p>
    <w:p w14:paraId="310FB294" w14:textId="0901DEBF" w:rsidR="00296E8D" w:rsidRPr="00212EA8" w:rsidRDefault="00296E8D" w:rsidP="00296E8D">
      <w:pPr>
        <w:pStyle w:val="SingleTxtG"/>
      </w:pPr>
      <w:r w:rsidRPr="00212EA8">
        <w:tab/>
        <w:t>(a)</w:t>
      </w:r>
      <w:r w:rsidRPr="00212EA8">
        <w:tab/>
        <w:t>die unzureichenden personellen, technischen und finanziellen Ressourcen der Anlaufstellen, um ihren Zuständigkeiten gerecht zu werden, und die begrenzte Beteiligung von Organisationen von Menschen mit Behinderungen an der Umsetzung des Übereinkommens;</w:t>
      </w:r>
    </w:p>
    <w:p w14:paraId="4242A0BF" w14:textId="77777777" w:rsidR="00296E8D" w:rsidRPr="00212EA8" w:rsidRDefault="00296E8D" w:rsidP="00296E8D">
      <w:pPr>
        <w:pStyle w:val="SingleTxtG"/>
      </w:pPr>
      <w:r w:rsidRPr="00212EA8">
        <w:tab/>
        <w:t>b)</w:t>
      </w:r>
      <w:r w:rsidRPr="00212EA8">
        <w:tab/>
        <w:t>Das Fehlen von Mechanismen zur Überwachung der Umsetzung des Übereinkommens auf Länderebene.</w:t>
      </w:r>
    </w:p>
    <w:p w14:paraId="111D9615" w14:textId="77777777" w:rsidR="00296E8D" w:rsidRPr="00212EA8" w:rsidRDefault="00296E8D" w:rsidP="00296E8D">
      <w:pPr>
        <w:pStyle w:val="SingleTxtG"/>
        <w:rPr>
          <w:b/>
        </w:rPr>
      </w:pPr>
      <w:r w:rsidRPr="00212EA8">
        <w:t>74.</w:t>
      </w:r>
      <w:r w:rsidRPr="00212EA8">
        <w:tab/>
      </w:r>
      <w:r w:rsidRPr="00212EA8">
        <w:rPr>
          <w:b/>
        </w:rPr>
        <w:t xml:space="preserve">Der Ausschuss empfiehlt dem Vertragsstaat, </w:t>
      </w:r>
    </w:p>
    <w:p w14:paraId="37135D2D" w14:textId="77777777" w:rsidR="00296E8D" w:rsidRPr="00212EA8" w:rsidRDefault="00296E8D" w:rsidP="00296E8D">
      <w:pPr>
        <w:pStyle w:val="SingleTxtG"/>
        <w:rPr>
          <w:b/>
          <w:bCs/>
        </w:rPr>
      </w:pPr>
      <w:r w:rsidRPr="00212EA8">
        <w:tab/>
        <w:t>(a)</w:t>
      </w:r>
      <w:r w:rsidRPr="00212EA8">
        <w:rPr>
          <w:b/>
          <w:bCs/>
        </w:rPr>
        <w:tab/>
        <w:t>die Kapazitäten der Anlaufstellen auszubauen und sie mit ausreichenden Befugnissen und mehr personellen, technischen und finanziellen Ressourcen auszustatten, damit sie ihren Aufgaben nach Artikel 33 des Übereinkommens nachkommen können, und sicherzustellen, dass Menschen mit Behinderungen und ihre Vertretungsorganisationen wirksam in die Überwachung der Umsetzung des Übereinkommens einbezogen werden;</w:t>
      </w:r>
    </w:p>
    <w:p w14:paraId="7CEA4E00" w14:textId="77777777" w:rsidR="00296E8D" w:rsidRPr="00212EA8" w:rsidRDefault="00296E8D" w:rsidP="00296E8D">
      <w:pPr>
        <w:pStyle w:val="SingleTxtG"/>
        <w:rPr>
          <w:b/>
          <w:bCs/>
        </w:rPr>
      </w:pPr>
      <w:r w:rsidRPr="00212EA8">
        <w:tab/>
        <w:t>b)</w:t>
      </w:r>
      <w:r w:rsidRPr="00212EA8">
        <w:rPr>
          <w:b/>
          <w:bCs/>
        </w:rPr>
        <w:tab/>
        <w:t>Verabschiedung von Rechtsvorschriften zur Einrichtung ständiger unabhängiger Überwachungsmechanismen auf Länderebene in voller Übereinstimmung mit den Grundsätzen über den Status der nationalen Institutionen zur Förderung und zum Schutz der Menschenrechte (Pariser Prinzipien) und Bereitstellung von personellen, technischen und sicheren finanziellen Ressourcen zur Unterstützung ihrer Mandate.</w:t>
      </w:r>
    </w:p>
    <w:p w14:paraId="43BF6138" w14:textId="2FBD1022" w:rsidR="00296E8D" w:rsidRPr="00212EA8" w:rsidRDefault="00296E8D" w:rsidP="00296E8D">
      <w:pPr>
        <w:pStyle w:val="HChG"/>
      </w:pPr>
      <w:r w:rsidRPr="00212EA8">
        <w:tab/>
        <w:t>IV.</w:t>
      </w:r>
      <w:r w:rsidRPr="00212EA8">
        <w:tab/>
        <w:t>Nachbereitung</w:t>
      </w:r>
    </w:p>
    <w:p w14:paraId="200167B4" w14:textId="77777777" w:rsidR="00296E8D" w:rsidRPr="00212EA8" w:rsidRDefault="00296E8D" w:rsidP="00296E8D">
      <w:pPr>
        <w:pStyle w:val="H23G"/>
      </w:pPr>
      <w:r w:rsidRPr="00212EA8">
        <w:tab/>
      </w:r>
      <w:r w:rsidRPr="00212EA8">
        <w:tab/>
      </w:r>
      <w:r w:rsidRPr="00212EA8">
        <w:tab/>
        <w:t>Verbreitung von Informationen</w:t>
      </w:r>
    </w:p>
    <w:p w14:paraId="70F42D5E" w14:textId="77777777" w:rsidR="00296E8D" w:rsidRPr="00212EA8" w:rsidRDefault="00296E8D" w:rsidP="00296E8D">
      <w:pPr>
        <w:pStyle w:val="SingleTxtG"/>
      </w:pPr>
      <w:r w:rsidRPr="00212EA8">
        <w:t>75.</w:t>
      </w:r>
      <w:r w:rsidRPr="00212EA8">
        <w:tab/>
      </w:r>
      <w:r w:rsidRPr="00212EA8">
        <w:rPr>
          <w:b/>
          <w:bCs/>
        </w:rPr>
        <w:t xml:space="preserve">Der Ausschuss unterstreicht die Bedeutung aller in den vorliegenden abschließenden Bemerkungen enthaltenen Empfehlungen. Hinsichtlich der dringenden Maßnahmen, die ergriffen werden müssen, möchte der Ausschuss die Aufmerksamkeit des Vertragsstaats auf die Empfehlungen lenken, die in den Ziffern 44 über ein </w:t>
      </w:r>
      <w:r w:rsidRPr="00212EA8">
        <w:rPr>
          <w:b/>
          <w:bCs/>
        </w:rPr>
        <w:lastRenderedPageBreak/>
        <w:t xml:space="preserve">unabhängiges Leben und die Eingliederung in die Gemeinschaft, 54 über Bildung und 62 über Arbeit und Beschäftigung enthalten sind. </w:t>
      </w:r>
    </w:p>
    <w:p w14:paraId="627D6C34" w14:textId="77777777" w:rsidR="00296E8D" w:rsidRPr="00212EA8" w:rsidRDefault="00296E8D" w:rsidP="00296E8D">
      <w:pPr>
        <w:pStyle w:val="SingleTxtG"/>
      </w:pPr>
      <w:r w:rsidRPr="00212EA8">
        <w:t>76.</w:t>
      </w:r>
      <w:r w:rsidRPr="00212EA8">
        <w:tab/>
      </w:r>
      <w:r w:rsidRPr="00212EA8">
        <w:rPr>
          <w:b/>
          <w:bCs/>
        </w:rPr>
        <w:t>Der Ausschuss ersucht den Vertragsstaat, die in diesen abschließenden Bemerkungen enthaltenen Empfehlungen umzusetzen. Er empfiehlt, dass der Vertragsstaat die abschließenden Bemerkungen den Mitgliedern der Regierung und des Parlaments, den Beamten der zuständigen Ministerien, den lokalen Behörden und den Angehörigen relevanter Berufsgruppen wie Bildung, Medizinern und Juristen sowie den Medien unter Verwendung moderner sozialer Kommunikationsstrategien zur Prüfung und zum Handeln übermittelt.</w:t>
      </w:r>
    </w:p>
    <w:p w14:paraId="00ACE6E1" w14:textId="77777777" w:rsidR="00296E8D" w:rsidRPr="00212EA8" w:rsidRDefault="00296E8D" w:rsidP="00296E8D">
      <w:pPr>
        <w:kinsoku w:val="0"/>
        <w:overflowPunct w:val="0"/>
        <w:autoSpaceDE w:val="0"/>
        <w:autoSpaceDN w:val="0"/>
        <w:adjustRightInd w:val="0"/>
        <w:snapToGrid w:val="0"/>
        <w:spacing w:after="120"/>
        <w:ind w:left="1134" w:right="1134"/>
        <w:jc w:val="both"/>
        <w:rPr>
          <w:rStyle w:val="SingleTxtGChar"/>
          <w:b/>
          <w:bCs/>
        </w:rPr>
      </w:pPr>
      <w:r w:rsidRPr="00212EA8">
        <w:rPr>
          <w:rFonts w:eastAsia="Calibri"/>
        </w:rPr>
        <w:t>77.</w:t>
      </w:r>
      <w:r w:rsidRPr="00212EA8">
        <w:rPr>
          <w:rFonts w:eastAsia="Calibri"/>
        </w:rPr>
        <w:tab/>
      </w:r>
      <w:r w:rsidRPr="00212EA8">
        <w:rPr>
          <w:rStyle w:val="SingleTxtGChar"/>
          <w:b/>
          <w:bCs/>
        </w:rPr>
        <w:t>Der Ausschuss fordert den Vertragsstaat nachdrücklich auf, Organisationen der Zivilgesellschaft, insbesondere Organisationen von Menschen mit Behinderungen, in die Ausarbeitung seines regelmäßigen Berichts einzubeziehen.</w:t>
      </w:r>
    </w:p>
    <w:p w14:paraId="0421ED01" w14:textId="77777777" w:rsidR="00296E8D" w:rsidRPr="00212EA8" w:rsidRDefault="00296E8D" w:rsidP="00296E8D">
      <w:pPr>
        <w:kinsoku w:val="0"/>
        <w:overflowPunct w:val="0"/>
        <w:autoSpaceDE w:val="0"/>
        <w:autoSpaceDN w:val="0"/>
        <w:adjustRightInd w:val="0"/>
        <w:snapToGrid w:val="0"/>
        <w:spacing w:after="120"/>
        <w:ind w:left="1134" w:right="1134"/>
        <w:jc w:val="both"/>
        <w:rPr>
          <w:rStyle w:val="SingleTxtGChar"/>
          <w:b/>
          <w:bCs/>
        </w:rPr>
      </w:pPr>
      <w:r w:rsidRPr="00212EA8">
        <w:rPr>
          <w:rFonts w:eastAsia="Calibri"/>
        </w:rPr>
        <w:t>78.</w:t>
      </w:r>
      <w:r w:rsidRPr="00212EA8">
        <w:rPr>
          <w:rFonts w:eastAsia="Calibri"/>
        </w:rPr>
        <w:tab/>
      </w:r>
      <w:r w:rsidRPr="00212EA8">
        <w:rPr>
          <w:rStyle w:val="SingleTxtGChar"/>
          <w:b/>
          <w:bCs/>
        </w:rPr>
        <w:t>Der Ausschuss ersucht den Vertragsstaat, die vorliegenden abschließenden Bemerkungen in den Landes- und Minderheitensprachen, einschließlich der Gebärdensprache, und in zugänglichen Formaten, einschließlich Easy Read, weit zu verbreiten, namentlich an Nichtregierungsorganisationen und Organisationen von Menschen mit Behinderungen selbst und ihre Familienangehörigen, und sie auf der Website der Regierung über Menschenrechte zur Verfügung zu stellen.</w:t>
      </w:r>
    </w:p>
    <w:p w14:paraId="248DF9BC" w14:textId="77777777" w:rsidR="00296E8D" w:rsidRPr="00212EA8" w:rsidRDefault="00296E8D" w:rsidP="00296E8D">
      <w:pPr>
        <w:pStyle w:val="H23G"/>
      </w:pPr>
      <w:r w:rsidRPr="00212EA8">
        <w:tab/>
      </w:r>
      <w:r w:rsidRPr="00212EA8">
        <w:tab/>
        <w:t>Nächster periodischer Bericht</w:t>
      </w:r>
    </w:p>
    <w:p w14:paraId="75B27360" w14:textId="77777777" w:rsidR="00296E8D" w:rsidRPr="00212EA8" w:rsidRDefault="00296E8D" w:rsidP="00296E8D">
      <w:pPr>
        <w:kinsoku w:val="0"/>
        <w:overflowPunct w:val="0"/>
        <w:autoSpaceDE w:val="0"/>
        <w:autoSpaceDN w:val="0"/>
        <w:adjustRightInd w:val="0"/>
        <w:snapToGrid w:val="0"/>
        <w:spacing w:after="120"/>
        <w:ind w:left="1134" w:right="1134"/>
        <w:jc w:val="both"/>
        <w:rPr>
          <w:rStyle w:val="SingleTxtGChar"/>
          <w:b/>
          <w:bCs/>
        </w:rPr>
      </w:pPr>
      <w:r w:rsidRPr="00212EA8">
        <w:rPr>
          <w:rFonts w:eastAsia="Calibri"/>
        </w:rPr>
        <w:t>79.</w:t>
      </w:r>
      <w:r w:rsidRPr="00212EA8">
        <w:rPr>
          <w:rFonts w:eastAsia="Calibri"/>
        </w:rPr>
        <w:tab/>
      </w:r>
      <w:r w:rsidRPr="00212EA8">
        <w:rPr>
          <w:rStyle w:val="SingleTxtGChar"/>
          <w:b/>
          <w:bCs/>
        </w:rPr>
        <w:t>Der Vertragsstaat hat sich für die Berichterstattung im Rahmen des vereinfachten Meldeverfahrens entschieden. Der Ausschuss erstellt vor der Berichterstattung eine Liste der Fragen und fordert den Vertragsstaat auf, seine Antworten innerhalb eines Jahres nach Erhalt der Liste der Probleme vorzulegen. Die Antworten des Vertragsstaats, die bis zum 24. März 2031 erwartet werden, werden seinen kombinierten vierten, fünften und sechsten periodischen Bericht bilden.</w:t>
      </w:r>
    </w:p>
    <w:p w14:paraId="40F7A57E" w14:textId="19AEC2CC" w:rsidR="004610AF" w:rsidRPr="00212EA8" w:rsidRDefault="00296E8D" w:rsidP="00296E8D">
      <w:pPr>
        <w:spacing w:before="240"/>
        <w:jc w:val="center"/>
        <w:rPr>
          <w:u w:val="single"/>
        </w:rPr>
      </w:pPr>
      <w:r w:rsidRPr="00212EA8">
        <w:rPr>
          <w:u w:val="single"/>
        </w:rPr>
        <w:tab/>
      </w:r>
      <w:r w:rsidRPr="00212EA8">
        <w:rPr>
          <w:u w:val="single"/>
        </w:rPr>
        <w:tab/>
      </w:r>
      <w:r w:rsidRPr="00212EA8">
        <w:rPr>
          <w:u w:val="single"/>
        </w:rPr>
        <w:tab/>
      </w:r>
    </w:p>
    <w:sectPr w:rsidR="004610AF" w:rsidRPr="00212EA8" w:rsidSect="009C7535">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FA957" w14:textId="77777777" w:rsidR="00CC41E9" w:rsidRPr="00317DC1" w:rsidRDefault="00CC41E9" w:rsidP="00317DC1">
      <w:pPr>
        <w:pStyle w:val="Fuzeile"/>
      </w:pPr>
    </w:p>
  </w:endnote>
  <w:endnote w:type="continuationSeparator" w:id="0">
    <w:p w14:paraId="517B4A3A" w14:textId="77777777" w:rsidR="00CC41E9" w:rsidRPr="00317DC1" w:rsidRDefault="00CC41E9" w:rsidP="00317DC1">
      <w:pPr>
        <w:pStyle w:val="Fuzeil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CC5A" w14:textId="77777777" w:rsidR="004610AF" w:rsidRDefault="004610AF" w:rsidP="004610AF">
    <w:pPr>
      <w:pStyle w:val="Fuzeile"/>
      <w:tabs>
        <w:tab w:val="right" w:pos="9638"/>
      </w:tabs>
    </w:pPr>
    <w:r w:rsidRPr="004610AF">
      <w:rPr>
        <w:b/>
        <w:bCs/>
        <w:sz w:val="18"/>
      </w:rPr>
      <w:fldChar w:fldCharType="begin"/>
    </w:r>
    <w:r w:rsidRPr="004610AF">
      <w:rPr>
        <w:b/>
        <w:bCs/>
        <w:sz w:val="18"/>
      </w:rPr>
      <w:instrText xml:space="preserve"> PAGE  \* MERGEFORMAT </w:instrText>
    </w:r>
    <w:r w:rsidRPr="004610AF">
      <w:rPr>
        <w:b/>
        <w:bCs/>
        <w:sz w:val="18"/>
      </w:rPr>
      <w:fldChar w:fldCharType="separate"/>
    </w:r>
    <w:r w:rsidRPr="004610AF">
      <w:rPr>
        <w:b/>
        <w:bCs/>
        <w:noProof/>
        <w:sz w:val="18"/>
      </w:rPr>
      <w:t>2</w:t>
    </w:r>
    <w:r w:rsidRPr="004610AF">
      <w:rPr>
        <w:b/>
        <w:bCs/>
        <w:sz w:val="18"/>
      </w:rPr>
      <w:fldChar w:fldCharType="end"/>
    </w:r>
    <w:r>
      <w:tab/>
      <w:t>GE.23-18099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B801" w14:textId="77777777" w:rsidR="004610AF" w:rsidRDefault="004610AF" w:rsidP="004610AF">
    <w:pPr>
      <w:pStyle w:val="Fuzeile"/>
      <w:tabs>
        <w:tab w:val="right" w:pos="9638"/>
      </w:tabs>
    </w:pPr>
    <w:r>
      <w:t>GE.23-18099</w:t>
    </w:r>
    <w:r>
      <w:tab/>
    </w:r>
    <w:r w:rsidRPr="004610AF">
      <w:rPr>
        <w:b/>
        <w:bCs/>
        <w:sz w:val="18"/>
      </w:rPr>
      <w:fldChar w:fldCharType="begin"/>
    </w:r>
    <w:r w:rsidRPr="004610AF">
      <w:rPr>
        <w:b/>
        <w:bCs/>
        <w:sz w:val="18"/>
      </w:rPr>
      <w:instrText xml:space="preserve"> PAGE  \* MERGEFORMAT </w:instrText>
    </w:r>
    <w:r w:rsidRPr="004610AF">
      <w:rPr>
        <w:b/>
        <w:bCs/>
        <w:sz w:val="18"/>
      </w:rPr>
      <w:fldChar w:fldCharType="separate"/>
    </w:r>
    <w:r w:rsidRPr="004610AF">
      <w:rPr>
        <w:b/>
        <w:bCs/>
        <w:noProof/>
        <w:sz w:val="18"/>
      </w:rPr>
      <w:t>3</w:t>
    </w:r>
    <w:r w:rsidRPr="004610AF">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B008" w14:textId="77777777" w:rsidR="004610AF" w:rsidRDefault="004610AF">
    <w:pPr>
      <w:pStyle w:val="Fuzeile"/>
      <w:rPr>
        <w:sz w:val="20"/>
      </w:rPr>
    </w:pPr>
    <w:r w:rsidRPr="0027112F">
      <w:rPr>
        <w:noProof/>
      </w:rPr>
      <w:drawing>
        <wp:anchor distT="0" distB="0" distL="114300" distR="114300" simplePos="0" relativeHeight="251659264" behindDoc="0" locked="1" layoutInCell="1" allowOverlap="1" wp14:anchorId="03E672E0" wp14:editId="3AD1AABB">
          <wp:simplePos x="0" y="0"/>
          <wp:positionH relativeFrom="column">
            <wp:posOffset>4558030</wp:posOffset>
          </wp:positionH>
          <wp:positionV relativeFrom="page">
            <wp:posOffset>10128250</wp:posOffset>
          </wp:positionV>
          <wp:extent cx="932400" cy="230400"/>
          <wp:effectExtent l="0" t="0" r="1270" b="0"/>
          <wp:wrapNone/>
          <wp:docPr id="5" name="Picture 5" descr="Bitte recyceln Sie 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CDE2BE0" w14:textId="706E664D" w:rsidR="004610AF" w:rsidRPr="004610AF" w:rsidRDefault="004610AF" w:rsidP="004610AF">
    <w:pPr>
      <w:pStyle w:val="Fuzeile"/>
      <w:tabs>
        <w:tab w:val="right" w:pos="7370"/>
      </w:tabs>
      <w:rPr>
        <w:sz w:val="20"/>
      </w:rPr>
    </w:pPr>
    <w:r>
      <w:rPr>
        <w:sz w:val="20"/>
      </w:rPr>
      <w:t>GE.23-18099 (E)</w:t>
    </w:r>
    <w:r>
      <w:rPr>
        <w:noProof/>
        <w:sz w:val="20"/>
      </w:rPr>
      <w:drawing>
        <wp:anchor distT="0" distB="0" distL="114300" distR="114300" simplePos="0" relativeHeight="251660288" behindDoc="0" locked="0" layoutInCell="1" allowOverlap="1" wp14:anchorId="188F99FC" wp14:editId="5813080D">
          <wp:simplePos x="0" y="0"/>
          <wp:positionH relativeFrom="margin">
            <wp:posOffset>5583555</wp:posOffset>
          </wp:positionH>
          <wp:positionV relativeFrom="margin">
            <wp:posOffset>8981440</wp:posOffset>
          </wp:positionV>
          <wp:extent cx="561975" cy="561975"/>
          <wp:effectExtent l="0" t="0" r="9525" b="9525"/>
          <wp:wrapNone/>
          <wp:docPr id="1512565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2EA8">
      <w:rPr>
        <w:sz w:val="20"/>
      </w:rPr>
      <w:t xml:space="preserve">    021023 031023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62809" w14:textId="77777777" w:rsidR="00CC41E9" w:rsidRPr="00317DC1" w:rsidRDefault="00CC41E9" w:rsidP="00317DC1">
      <w:pPr>
        <w:tabs>
          <w:tab w:val="right" w:pos="2155"/>
        </w:tabs>
        <w:spacing w:after="80" w:line="240" w:lineRule="auto"/>
        <w:ind w:left="680"/>
      </w:pPr>
      <w:r>
        <w:rPr>
          <w:u w:val="single"/>
        </w:rPr>
        <w:tab/>
      </w:r>
    </w:p>
  </w:footnote>
  <w:footnote w:type="continuationSeparator" w:id="0">
    <w:p w14:paraId="71355A87" w14:textId="77777777" w:rsidR="00CC41E9" w:rsidRPr="00317DC1" w:rsidRDefault="00CC41E9" w:rsidP="00317DC1">
      <w:pPr>
        <w:tabs>
          <w:tab w:val="right" w:pos="2155"/>
        </w:tabs>
        <w:spacing w:after="80" w:line="240" w:lineRule="auto"/>
        <w:ind w:left="680"/>
      </w:pPr>
      <w:r>
        <w:rPr>
          <w:u w:val="single"/>
        </w:rPr>
        <w:tab/>
      </w:r>
    </w:p>
  </w:footnote>
  <w:footnote w:id="1">
    <w:p w14:paraId="75A05230" w14:textId="77777777" w:rsidR="00296E8D" w:rsidRPr="00875E6C" w:rsidRDefault="00296E8D" w:rsidP="00296E8D">
      <w:pPr>
        <w:pStyle w:val="Funotentext"/>
      </w:pPr>
      <w:r>
        <w:tab/>
      </w:r>
      <w:r w:rsidRPr="002F192A">
        <w:rPr>
          <w:sz w:val="20"/>
        </w:rPr>
        <w:t>*</w:t>
      </w:r>
      <w:r>
        <w:tab/>
      </w:r>
      <w:r w:rsidRPr="00875E6C">
        <w:t xml:space="preserve">Verabschiedet vom Ausschuss auf seiner neunundzwanzigsten Tagung (14. August–8. September 2023). </w:t>
      </w:r>
    </w:p>
  </w:footnote>
  <w:footnote w:id="2">
    <w:p w14:paraId="227DE53D" w14:textId="06EA364B" w:rsidR="00296E8D" w:rsidRPr="006423BB" w:rsidRDefault="00296E8D" w:rsidP="00296E8D">
      <w:pPr>
        <w:pStyle w:val="Funotentext"/>
      </w:pPr>
      <w:r>
        <w:tab/>
      </w:r>
      <w:r w:rsidRPr="00F972B6">
        <w:rPr>
          <w:rStyle w:val="Funotenzeichen"/>
        </w:rPr>
        <w:footnoteRef/>
      </w:r>
      <w:r>
        <w:tab/>
      </w:r>
      <w:hyperlink r:id="rId1" w:history="1">
        <w:r w:rsidR="00CB0964" w:rsidRPr="00646FF1">
          <w:rPr>
            <w:rStyle w:val="Hyperlink"/>
            <w:u w:val="none"/>
          </w:rPr>
          <w:t>CRPD/C/DEU/2-3</w:t>
        </w:r>
      </w:hyperlink>
      <w:r w:rsidRPr="00CC6CC5">
        <w:t>.</w:t>
      </w:r>
    </w:p>
  </w:footnote>
  <w:footnote w:id="3">
    <w:p w14:paraId="52D01AEB" w14:textId="176B81C1" w:rsidR="00296E8D" w:rsidRPr="008A6A96" w:rsidRDefault="00296E8D" w:rsidP="00296E8D">
      <w:pPr>
        <w:pStyle w:val="Funotentext"/>
        <w:rPr>
          <w:lang w:val="en-US"/>
        </w:rPr>
      </w:pPr>
      <w:r>
        <w:tab/>
      </w:r>
      <w:r w:rsidRPr="00F972B6">
        <w:rPr>
          <w:rStyle w:val="Funotenzeichen"/>
        </w:rPr>
        <w:footnoteRef/>
      </w:r>
      <w:r>
        <w:tab/>
        <w:t>S</w:t>
      </w:r>
      <w:r w:rsidRPr="001D1E18">
        <w:t xml:space="preserve">Ee </w:t>
      </w:r>
      <w:hyperlink r:id="rId2" w:history="1">
        <w:r w:rsidR="00CB0964" w:rsidRPr="00646FF1">
          <w:rPr>
            <w:rStyle w:val="Hyperlink"/>
            <w:u w:val="none"/>
          </w:rPr>
          <w:t>CRPD/C/SR.674</w:t>
        </w:r>
      </w:hyperlink>
      <w:r w:rsidRPr="001D1E18">
        <w:t xml:space="preserve"> und </w:t>
      </w:r>
      <w:hyperlink r:id="rId3" w:history="1">
        <w:r w:rsidR="00CB0964" w:rsidRPr="00646FF1">
          <w:rPr>
            <w:rStyle w:val="Hyperlink"/>
            <w:u w:val="none"/>
          </w:rPr>
          <w:t>CRPD/C/SR.675</w:t>
        </w:r>
      </w:hyperlink>
      <w:r w:rsidRPr="00CC6CC5">
        <w:t>.</w:t>
      </w:r>
    </w:p>
  </w:footnote>
  <w:footnote w:id="4">
    <w:p w14:paraId="14A58756" w14:textId="1206BA65" w:rsidR="00296E8D" w:rsidRPr="00713916" w:rsidRDefault="00296E8D" w:rsidP="00296E8D">
      <w:pPr>
        <w:pStyle w:val="Funotentext"/>
      </w:pPr>
      <w:r>
        <w:tab/>
      </w:r>
      <w:r w:rsidRPr="00F972B6">
        <w:rPr>
          <w:rStyle w:val="Funotenzeichen"/>
        </w:rPr>
        <w:footnoteRef/>
      </w:r>
      <w:r>
        <w:tab/>
      </w:r>
      <w:hyperlink r:id="rId4" w:history="1">
        <w:r w:rsidR="00CB0964" w:rsidRPr="00646FF1">
          <w:rPr>
            <w:rStyle w:val="Hyperlink"/>
            <w:u w:val="none"/>
          </w:rPr>
          <w:t>CRPD/C/DEU/QPR/2-3</w:t>
        </w:r>
      </w:hyperlink>
      <w:r w:rsidRPr="00713916">
        <w:t>.</w:t>
      </w:r>
    </w:p>
  </w:footnote>
  <w:footnote w:id="5">
    <w:p w14:paraId="2D45992D" w14:textId="632603A2" w:rsidR="00296E8D" w:rsidRPr="008A6A96" w:rsidRDefault="00296E8D" w:rsidP="00296E8D">
      <w:pPr>
        <w:pStyle w:val="Funotentext"/>
        <w:rPr>
          <w:lang w:val="es-ES"/>
        </w:rPr>
      </w:pPr>
      <w:r>
        <w:tab/>
      </w:r>
      <w:r w:rsidRPr="00F972B6">
        <w:rPr>
          <w:rStyle w:val="Funotenzeichen"/>
        </w:rPr>
        <w:footnoteRef/>
      </w:r>
      <w:r>
        <w:tab/>
      </w:r>
      <w:hyperlink r:id="rId5" w:history="1">
        <w:r w:rsidR="00CB0964" w:rsidRPr="00646FF1">
          <w:rPr>
            <w:rStyle w:val="Hyperlink"/>
            <w:u w:val="none"/>
          </w:rPr>
          <w:t>CRPD/C/DEU/CO/1</w:t>
        </w:r>
      </w:hyperlink>
      <w:r w:rsidRPr="008A6A96">
        <w:t>.</w:t>
      </w:r>
    </w:p>
  </w:footnote>
  <w:footnote w:id="6">
    <w:p w14:paraId="3C8CFF2C" w14:textId="187AC3F8" w:rsidR="00296E8D" w:rsidRDefault="00296E8D" w:rsidP="00296E8D">
      <w:pPr>
        <w:pStyle w:val="Funotentext"/>
        <w:widowControl w:val="0"/>
        <w:tabs>
          <w:tab w:val="clear" w:pos="1021"/>
          <w:tab w:val="right" w:pos="1020"/>
        </w:tabs>
      </w:pPr>
      <w:r>
        <w:tab/>
      </w:r>
      <w:r w:rsidRPr="00F972B6">
        <w:rPr>
          <w:rStyle w:val="Funotenzeichen"/>
        </w:rPr>
        <w:footnoteRef/>
      </w:r>
      <w:r>
        <w:tab/>
        <w:t>Ebd., Abs. 8 Buchst. a.</w:t>
      </w:r>
    </w:p>
  </w:footnote>
  <w:footnote w:id="7">
    <w:p w14:paraId="6ED236CE" w14:textId="187D5C28" w:rsidR="00296E8D" w:rsidRPr="008A6A96" w:rsidRDefault="00296E8D" w:rsidP="00296E8D">
      <w:pPr>
        <w:pStyle w:val="Funotentext"/>
        <w:rPr>
          <w:lang w:val="es-ES"/>
        </w:rPr>
      </w:pPr>
      <w:r>
        <w:tab/>
      </w:r>
      <w:r w:rsidRPr="00F972B6">
        <w:rPr>
          <w:rStyle w:val="Funotenzeichen"/>
        </w:rPr>
        <w:footnoteRef/>
      </w:r>
      <w:r>
        <w:tab/>
        <w:t>Ebd.</w:t>
      </w:r>
      <w:r w:rsidRPr="008A6A96">
        <w:t>, Abs. 8 Buchst. b.</w:t>
      </w:r>
    </w:p>
  </w:footnote>
  <w:footnote w:id="8">
    <w:p w14:paraId="118D6D15" w14:textId="490654E2" w:rsidR="00296E8D" w:rsidRPr="008A6A96" w:rsidRDefault="00296E8D" w:rsidP="00296E8D">
      <w:pPr>
        <w:pStyle w:val="Funotentext"/>
        <w:rPr>
          <w:lang w:val="es-ES"/>
        </w:rPr>
      </w:pPr>
      <w:r>
        <w:tab/>
      </w:r>
      <w:r w:rsidRPr="00F972B6">
        <w:rPr>
          <w:rStyle w:val="Funotenzeichen"/>
        </w:rPr>
        <w:footnoteRef/>
      </w:r>
      <w:r>
        <w:tab/>
        <w:t>Ebd.</w:t>
      </w:r>
      <w:r w:rsidRPr="008A6A96">
        <w:t>, Abs. 10.</w:t>
      </w:r>
    </w:p>
  </w:footnote>
  <w:footnote w:id="9">
    <w:p w14:paraId="799E75FF" w14:textId="68E3AD59" w:rsidR="00296E8D" w:rsidRPr="008A6A96" w:rsidRDefault="00296E8D" w:rsidP="00296E8D">
      <w:pPr>
        <w:pStyle w:val="Funotentext"/>
        <w:ind w:hanging="567"/>
        <w:rPr>
          <w:lang w:val="en-US"/>
        </w:rPr>
      </w:pPr>
      <w:r>
        <w:tab/>
      </w:r>
      <w:r w:rsidRPr="00F972B6">
        <w:rPr>
          <w:rStyle w:val="Funotenzeichen"/>
        </w:rPr>
        <w:footnoteRef/>
      </w:r>
      <w:r>
        <w:tab/>
      </w:r>
      <w:hyperlink r:id="rId6" w:history="1">
        <w:r w:rsidR="00CB0964" w:rsidRPr="00646FF1">
          <w:rPr>
            <w:rStyle w:val="Hyperlink"/>
            <w:u w:val="none"/>
          </w:rPr>
          <w:t>A/72/55</w:t>
        </w:r>
      </w:hyperlink>
      <w:r>
        <w:t>Anbau.</w:t>
      </w:r>
    </w:p>
  </w:footnote>
  <w:footnote w:id="10">
    <w:p w14:paraId="4F21C0C1" w14:textId="11E47419" w:rsidR="00296E8D" w:rsidRPr="008A6A96" w:rsidRDefault="00296E8D" w:rsidP="00296E8D">
      <w:pPr>
        <w:pStyle w:val="Funotentext"/>
        <w:rPr>
          <w:lang w:val="es-ES"/>
        </w:rPr>
      </w:pPr>
      <w:r>
        <w:tab/>
      </w:r>
      <w:r w:rsidRPr="00F972B6">
        <w:rPr>
          <w:rStyle w:val="Funotenzeichen"/>
        </w:rPr>
        <w:footnoteRef/>
      </w:r>
      <w:r>
        <w:tab/>
      </w:r>
      <w:hyperlink r:id="rId7" w:history="1">
        <w:r w:rsidR="00CB0964" w:rsidRPr="00646FF1">
          <w:rPr>
            <w:rStyle w:val="Hyperlink"/>
            <w:u w:val="none"/>
          </w:rPr>
          <w:t>UN-Fertigfunk/C/5</w:t>
        </w:r>
      </w:hyperlink>
      <w:r>
        <w:t>.</w:t>
      </w:r>
    </w:p>
  </w:footnote>
  <w:footnote w:id="11">
    <w:p w14:paraId="5CEC9589" w14:textId="6D7C673C" w:rsidR="00296E8D" w:rsidRPr="008A6A96" w:rsidRDefault="00296E8D" w:rsidP="00296E8D">
      <w:pPr>
        <w:pStyle w:val="Funotentext"/>
        <w:rPr>
          <w:lang w:val="es-ES"/>
        </w:rPr>
      </w:pPr>
      <w:r>
        <w:tab/>
      </w:r>
      <w:r w:rsidRPr="00F972B6">
        <w:rPr>
          <w:rStyle w:val="Funotenzeichen"/>
        </w:rPr>
        <w:footnoteRef/>
      </w:r>
      <w:r>
        <w:tab/>
      </w:r>
      <w:hyperlink r:id="rId8" w:history="1">
        <w:r w:rsidR="00CB0964" w:rsidRPr="00646FF1">
          <w:rPr>
            <w:rStyle w:val="Hyperlink"/>
            <w:u w:val="none"/>
          </w:rPr>
          <w:t>A/HRC/52/32</w:t>
        </w:r>
      </w:hyperlink>
      <w:r w:rsidRPr="008A6A96">
        <w:t>.</w:t>
      </w:r>
    </w:p>
  </w:footnote>
  <w:footnote w:id="12">
    <w:p w14:paraId="7B319869" w14:textId="12701E9B" w:rsidR="00296E8D" w:rsidRPr="008A6A96" w:rsidRDefault="00CB0964" w:rsidP="00CB0964">
      <w:pPr>
        <w:pStyle w:val="Funotentext"/>
        <w:ind w:hanging="567"/>
        <w:rPr>
          <w:lang w:val="es-ES"/>
        </w:rPr>
      </w:pPr>
      <w:r>
        <w:tab/>
      </w:r>
      <w:r w:rsidR="00296E8D" w:rsidRPr="00F972B6">
        <w:rPr>
          <w:rStyle w:val="Funotenzeichen"/>
        </w:rPr>
        <w:footnoteRef/>
      </w:r>
      <w:r>
        <w:tab/>
      </w:r>
      <w:hyperlink r:id="rId9" w:history="1">
        <w:r w:rsidRPr="00646FF1">
          <w:rPr>
            <w:rStyle w:val="Hyperlink"/>
            <w:u w:val="none"/>
          </w:rPr>
          <w:t>E/C.12/DEU/CO/6</w:t>
        </w:r>
      </w:hyperlink>
      <w:r w:rsidR="00296E8D" w:rsidRPr="008A6A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FF9D" w14:textId="77777777" w:rsidR="004610AF" w:rsidRDefault="004610AF" w:rsidP="004610AF">
    <w:pPr>
      <w:pStyle w:val="Kopfzeile"/>
    </w:pPr>
    <w:r>
      <w:t>CRPD/C/DEU/CO/2-3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51E1" w14:textId="77777777" w:rsidR="004610AF" w:rsidRDefault="004610AF" w:rsidP="004610AF">
    <w:pPr>
      <w:pStyle w:val="Kopfzeile"/>
      <w:jc w:val="right"/>
    </w:pPr>
    <w:r>
      <w:t>CRPD/C/DEU/CO/2-3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E63"/>
    <w:multiLevelType w:val="hybridMultilevel"/>
    <w:tmpl w:val="04C42238"/>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D61431"/>
    <w:multiLevelType w:val="hybridMultilevel"/>
    <w:tmpl w:val="97D09808"/>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89A2A60"/>
    <w:multiLevelType w:val="hybridMultilevel"/>
    <w:tmpl w:val="B358C692"/>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0A3C60FC"/>
    <w:multiLevelType w:val="hybridMultilevel"/>
    <w:tmpl w:val="E03AD674"/>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0BB55BCC"/>
    <w:multiLevelType w:val="hybridMultilevel"/>
    <w:tmpl w:val="F8EE6A5C"/>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0D301070"/>
    <w:multiLevelType w:val="hybridMultilevel"/>
    <w:tmpl w:val="AE40545A"/>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0DB217CC"/>
    <w:multiLevelType w:val="hybridMultilevel"/>
    <w:tmpl w:val="2E0E24D8"/>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019522A"/>
    <w:multiLevelType w:val="hybridMultilevel"/>
    <w:tmpl w:val="978C4F40"/>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1467061"/>
    <w:multiLevelType w:val="hybridMultilevel"/>
    <w:tmpl w:val="05ACFE88"/>
    <w:lvl w:ilvl="0" w:tplc="B0F4FC94">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15:restartNumberingAfterBreak="0">
    <w:nsid w:val="12E17AAE"/>
    <w:multiLevelType w:val="hybridMultilevel"/>
    <w:tmpl w:val="5F2C711C"/>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137769F0"/>
    <w:multiLevelType w:val="hybridMultilevel"/>
    <w:tmpl w:val="45122D06"/>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6C66474"/>
    <w:multiLevelType w:val="hybridMultilevel"/>
    <w:tmpl w:val="F2565758"/>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B14D8"/>
    <w:multiLevelType w:val="hybridMultilevel"/>
    <w:tmpl w:val="204EB362"/>
    <w:lvl w:ilvl="0" w:tplc="37623972">
      <w:start w:val="1"/>
      <w:numFmt w:val="lowerLetter"/>
      <w:lvlText w:val="(%1)"/>
      <w:lvlJc w:val="left"/>
      <w:pPr>
        <w:ind w:left="1854" w:hanging="360"/>
      </w:pPr>
      <w:rPr>
        <w:rFonts w:hint="default"/>
        <w:b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249112DA"/>
    <w:multiLevelType w:val="hybridMultilevel"/>
    <w:tmpl w:val="7894507A"/>
    <w:lvl w:ilvl="0" w:tplc="D7A452E0">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9845972"/>
    <w:multiLevelType w:val="hybridMultilevel"/>
    <w:tmpl w:val="5200522E"/>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2A1E05AA"/>
    <w:multiLevelType w:val="hybridMultilevel"/>
    <w:tmpl w:val="FA4E37AC"/>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2A7D3B0C"/>
    <w:multiLevelType w:val="hybridMultilevel"/>
    <w:tmpl w:val="F7AAC830"/>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3088146E"/>
    <w:multiLevelType w:val="hybridMultilevel"/>
    <w:tmpl w:val="F1329B24"/>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310C5DF7"/>
    <w:multiLevelType w:val="hybridMultilevel"/>
    <w:tmpl w:val="85AC81EA"/>
    <w:lvl w:ilvl="0" w:tplc="6E341BC6">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966F9F"/>
    <w:multiLevelType w:val="hybridMultilevel"/>
    <w:tmpl w:val="DCDA1E40"/>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3ACB2D9C"/>
    <w:multiLevelType w:val="hybridMultilevel"/>
    <w:tmpl w:val="EAFC7B06"/>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15:restartNumberingAfterBreak="0">
    <w:nsid w:val="3D0765EE"/>
    <w:multiLevelType w:val="hybridMultilevel"/>
    <w:tmpl w:val="3746E2C6"/>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15:restartNumberingAfterBreak="0">
    <w:nsid w:val="41DA7CB3"/>
    <w:multiLevelType w:val="hybridMultilevel"/>
    <w:tmpl w:val="5EBA7596"/>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448A2A11"/>
    <w:multiLevelType w:val="hybridMultilevel"/>
    <w:tmpl w:val="56E279FA"/>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15:restartNumberingAfterBreak="0">
    <w:nsid w:val="4C8B25B6"/>
    <w:multiLevelType w:val="hybridMultilevel"/>
    <w:tmpl w:val="D26041C2"/>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15:restartNumberingAfterBreak="0">
    <w:nsid w:val="4F7A3DBD"/>
    <w:multiLevelType w:val="hybridMultilevel"/>
    <w:tmpl w:val="7F427218"/>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9C43A7"/>
    <w:multiLevelType w:val="multilevel"/>
    <w:tmpl w:val="B5A87DD4"/>
    <w:lvl w:ilvl="0">
      <w:start w:val="1"/>
      <w:numFmt w:val="decimal"/>
      <w:lvlText w:val="%1."/>
      <w:lvlJc w:val="left"/>
      <w:pPr>
        <w:ind w:left="2487"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1FD6B4A"/>
    <w:multiLevelType w:val="hybridMultilevel"/>
    <w:tmpl w:val="936C2E5E"/>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15:restartNumberingAfterBreak="0">
    <w:nsid w:val="66D2412A"/>
    <w:multiLevelType w:val="hybridMultilevel"/>
    <w:tmpl w:val="1F708192"/>
    <w:lvl w:ilvl="0" w:tplc="2EEA37CA">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15:restartNumberingAfterBreak="0">
    <w:nsid w:val="67A149E0"/>
    <w:multiLevelType w:val="hybridMultilevel"/>
    <w:tmpl w:val="DF9E6062"/>
    <w:lvl w:ilvl="0" w:tplc="11763AAE">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6C0256B7"/>
    <w:multiLevelType w:val="hybridMultilevel"/>
    <w:tmpl w:val="F4B2D416"/>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15:restartNumberingAfterBreak="0">
    <w:nsid w:val="6D8844CC"/>
    <w:multiLevelType w:val="hybridMultilevel"/>
    <w:tmpl w:val="208CF9AE"/>
    <w:lvl w:ilvl="0" w:tplc="87F65582">
      <w:start w:val="1"/>
      <w:numFmt w:val="lowerLetter"/>
      <w:lvlText w:val="(%1)"/>
      <w:lvlJc w:val="left"/>
      <w:pPr>
        <w:ind w:left="1854" w:hanging="360"/>
      </w:pPr>
      <w:rPr>
        <w:rFonts w:hint="default"/>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6E9174F7"/>
    <w:multiLevelType w:val="hybridMultilevel"/>
    <w:tmpl w:val="0EF897EA"/>
    <w:lvl w:ilvl="0" w:tplc="B0F4FC94">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9" w15:restartNumberingAfterBreak="0">
    <w:nsid w:val="707466A3"/>
    <w:multiLevelType w:val="hybridMultilevel"/>
    <w:tmpl w:val="B5F610A6"/>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0" w15:restartNumberingAfterBreak="0">
    <w:nsid w:val="776405CE"/>
    <w:multiLevelType w:val="hybridMultilevel"/>
    <w:tmpl w:val="45122D06"/>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FEC5ED2"/>
    <w:multiLevelType w:val="hybridMultilevel"/>
    <w:tmpl w:val="A54835E4"/>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737629650">
    <w:abstractNumId w:val="22"/>
  </w:num>
  <w:num w:numId="2" w16cid:durableId="2117745002">
    <w:abstractNumId w:val="14"/>
  </w:num>
  <w:num w:numId="3" w16cid:durableId="708916674">
    <w:abstractNumId w:val="1"/>
  </w:num>
  <w:num w:numId="4" w16cid:durableId="936912151">
    <w:abstractNumId w:val="30"/>
  </w:num>
  <w:num w:numId="5" w16cid:durableId="2144304009">
    <w:abstractNumId w:val="32"/>
  </w:num>
  <w:num w:numId="6" w16cid:durableId="1796438888">
    <w:abstractNumId w:val="41"/>
  </w:num>
  <w:num w:numId="7" w16cid:durableId="1656453849">
    <w:abstractNumId w:val="12"/>
  </w:num>
  <w:num w:numId="8" w16cid:durableId="1088693391">
    <w:abstractNumId w:val="10"/>
  </w:num>
  <w:num w:numId="9" w16cid:durableId="799080625">
    <w:abstractNumId w:val="20"/>
  </w:num>
  <w:num w:numId="10" w16cid:durableId="694573631">
    <w:abstractNumId w:val="26"/>
  </w:num>
  <w:num w:numId="11" w16cid:durableId="1789659401">
    <w:abstractNumId w:val="8"/>
  </w:num>
  <w:num w:numId="12" w16cid:durableId="1453745166">
    <w:abstractNumId w:val="16"/>
  </w:num>
  <w:num w:numId="13" w16cid:durableId="1049576966">
    <w:abstractNumId w:val="39"/>
  </w:num>
  <w:num w:numId="14" w16cid:durableId="246695260">
    <w:abstractNumId w:val="35"/>
  </w:num>
  <w:num w:numId="15" w16cid:durableId="503935112">
    <w:abstractNumId w:val="38"/>
  </w:num>
  <w:num w:numId="16" w16cid:durableId="1793592874">
    <w:abstractNumId w:val="9"/>
  </w:num>
  <w:num w:numId="17" w16cid:durableId="329985590">
    <w:abstractNumId w:val="13"/>
  </w:num>
  <w:num w:numId="18" w16cid:durableId="328825525">
    <w:abstractNumId w:val="7"/>
  </w:num>
  <w:num w:numId="19" w16cid:durableId="1293368336">
    <w:abstractNumId w:val="42"/>
  </w:num>
  <w:num w:numId="20" w16cid:durableId="1607538148">
    <w:abstractNumId w:val="11"/>
  </w:num>
  <w:num w:numId="21" w16cid:durableId="2049526501">
    <w:abstractNumId w:val="40"/>
  </w:num>
  <w:num w:numId="22" w16cid:durableId="74329377">
    <w:abstractNumId w:val="21"/>
  </w:num>
  <w:num w:numId="23" w16cid:durableId="2079210948">
    <w:abstractNumId w:val="34"/>
  </w:num>
  <w:num w:numId="24" w16cid:durableId="1292440669">
    <w:abstractNumId w:val="27"/>
  </w:num>
  <w:num w:numId="25" w16cid:durableId="1715419898">
    <w:abstractNumId w:val="4"/>
  </w:num>
  <w:num w:numId="26" w16cid:durableId="1236623141">
    <w:abstractNumId w:val="15"/>
  </w:num>
  <w:num w:numId="27" w16cid:durableId="1797943391">
    <w:abstractNumId w:val="18"/>
  </w:num>
  <w:num w:numId="28" w16cid:durableId="1087111652">
    <w:abstractNumId w:val="19"/>
  </w:num>
  <w:num w:numId="29" w16cid:durableId="840699162">
    <w:abstractNumId w:val="2"/>
  </w:num>
  <w:num w:numId="30" w16cid:durableId="1670988567">
    <w:abstractNumId w:val="29"/>
  </w:num>
  <w:num w:numId="31" w16cid:durableId="373888085">
    <w:abstractNumId w:val="33"/>
  </w:num>
  <w:num w:numId="32" w16cid:durableId="1205025342">
    <w:abstractNumId w:val="0"/>
  </w:num>
  <w:num w:numId="33" w16cid:durableId="627470170">
    <w:abstractNumId w:val="28"/>
  </w:num>
  <w:num w:numId="34" w16cid:durableId="628627033">
    <w:abstractNumId w:val="25"/>
  </w:num>
  <w:num w:numId="35" w16cid:durableId="84159385">
    <w:abstractNumId w:val="23"/>
  </w:num>
  <w:num w:numId="36" w16cid:durableId="1283920038">
    <w:abstractNumId w:val="24"/>
  </w:num>
  <w:num w:numId="37" w16cid:durableId="1642228343">
    <w:abstractNumId w:val="3"/>
  </w:num>
  <w:num w:numId="38" w16cid:durableId="779684608">
    <w:abstractNumId w:val="17"/>
  </w:num>
  <w:num w:numId="39" w16cid:durableId="788815555">
    <w:abstractNumId w:val="37"/>
  </w:num>
  <w:num w:numId="40" w16cid:durableId="395975490">
    <w:abstractNumId w:val="36"/>
  </w:num>
  <w:num w:numId="41" w16cid:durableId="1496189929">
    <w:abstractNumId w:val="5"/>
  </w:num>
  <w:num w:numId="42" w16cid:durableId="426342608">
    <w:abstractNumId w:val="6"/>
  </w:num>
  <w:num w:numId="43" w16cid:durableId="621488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E9"/>
    <w:rsid w:val="00014C25"/>
    <w:rsid w:val="000211AC"/>
    <w:rsid w:val="00046E92"/>
    <w:rsid w:val="000C291C"/>
    <w:rsid w:val="00115568"/>
    <w:rsid w:val="001A27B5"/>
    <w:rsid w:val="001A72E8"/>
    <w:rsid w:val="00212EA8"/>
    <w:rsid w:val="00247E2C"/>
    <w:rsid w:val="00296E8D"/>
    <w:rsid w:val="002D6C53"/>
    <w:rsid w:val="002F238A"/>
    <w:rsid w:val="002F5595"/>
    <w:rsid w:val="00317DC1"/>
    <w:rsid w:val="00334F6A"/>
    <w:rsid w:val="00342AC8"/>
    <w:rsid w:val="003803B3"/>
    <w:rsid w:val="00384EAC"/>
    <w:rsid w:val="003B4550"/>
    <w:rsid w:val="003B5974"/>
    <w:rsid w:val="004610AF"/>
    <w:rsid w:val="00461253"/>
    <w:rsid w:val="0049710A"/>
    <w:rsid w:val="004A1DC4"/>
    <w:rsid w:val="00502AC4"/>
    <w:rsid w:val="005042C2"/>
    <w:rsid w:val="005720BD"/>
    <w:rsid w:val="005E08DF"/>
    <w:rsid w:val="00615A14"/>
    <w:rsid w:val="00646FF1"/>
    <w:rsid w:val="00671529"/>
    <w:rsid w:val="00676A82"/>
    <w:rsid w:val="00683441"/>
    <w:rsid w:val="006A46FD"/>
    <w:rsid w:val="006B6980"/>
    <w:rsid w:val="006D40C5"/>
    <w:rsid w:val="006E4390"/>
    <w:rsid w:val="007268F9"/>
    <w:rsid w:val="0079725D"/>
    <w:rsid w:val="007C52B0"/>
    <w:rsid w:val="00816928"/>
    <w:rsid w:val="0086105F"/>
    <w:rsid w:val="008B110B"/>
    <w:rsid w:val="00907554"/>
    <w:rsid w:val="009411B4"/>
    <w:rsid w:val="009470BD"/>
    <w:rsid w:val="009A7FA2"/>
    <w:rsid w:val="009C7535"/>
    <w:rsid w:val="009D0139"/>
    <w:rsid w:val="009F5CDC"/>
    <w:rsid w:val="00A50B9C"/>
    <w:rsid w:val="00A539C8"/>
    <w:rsid w:val="00A775CF"/>
    <w:rsid w:val="00AA6968"/>
    <w:rsid w:val="00AF16F3"/>
    <w:rsid w:val="00B06045"/>
    <w:rsid w:val="00B275CB"/>
    <w:rsid w:val="00B81039"/>
    <w:rsid w:val="00BD19D1"/>
    <w:rsid w:val="00BE04BA"/>
    <w:rsid w:val="00C0580E"/>
    <w:rsid w:val="00C35A27"/>
    <w:rsid w:val="00C9007B"/>
    <w:rsid w:val="00CB0964"/>
    <w:rsid w:val="00CC3AB5"/>
    <w:rsid w:val="00CC3FD1"/>
    <w:rsid w:val="00CC41E9"/>
    <w:rsid w:val="00CF4C5C"/>
    <w:rsid w:val="00D332C3"/>
    <w:rsid w:val="00D44D54"/>
    <w:rsid w:val="00DF04D6"/>
    <w:rsid w:val="00E02C2B"/>
    <w:rsid w:val="00E16B0C"/>
    <w:rsid w:val="00EC06F7"/>
    <w:rsid w:val="00EC31DF"/>
    <w:rsid w:val="00ED6C48"/>
    <w:rsid w:val="00F65F5D"/>
    <w:rsid w:val="00F86A3A"/>
    <w:rsid w:val="00F972B6"/>
    <w:rsid w:val="00FF2EA5"/>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F7F61"/>
  <w15:docId w15:val="{2F7E112A-377E-4554-B822-31AAD114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928"/>
    <w:pPr>
      <w:suppressAutoHyphens/>
      <w:spacing w:after="0" w:line="240" w:lineRule="atLeast"/>
    </w:pPr>
    <w:rPr>
      <w:rFonts w:ascii="Times New Roman" w:hAnsi="Times New Roman" w:cs="Times New Roman"/>
      <w:sz w:val="20"/>
      <w:szCs w:val="20"/>
      <w:lang w:eastAsia="en-US"/>
    </w:rPr>
  </w:style>
  <w:style w:type="paragraph" w:styleId="berschrift1">
    <w:name w:val="heading 1"/>
    <w:aliases w:val="Table_G"/>
    <w:basedOn w:val="SingleTxtG"/>
    <w:next w:val="SingleTxtG"/>
    <w:link w:val="berschrift1Zchn"/>
    <w:rsid w:val="007268F9"/>
    <w:pPr>
      <w:spacing w:after="0" w:line="240" w:lineRule="auto"/>
      <w:ind w:right="0"/>
      <w:jc w:val="left"/>
      <w:outlineLvl w:val="0"/>
    </w:pPr>
  </w:style>
  <w:style w:type="paragraph" w:styleId="berschrift2">
    <w:name w:val="heading 2"/>
    <w:basedOn w:val="Standard"/>
    <w:next w:val="Standard"/>
    <w:link w:val="berschrift2Zchn"/>
    <w:semiHidden/>
    <w:rsid w:val="007268F9"/>
    <w:pPr>
      <w:spacing w:line="240" w:lineRule="auto"/>
      <w:outlineLvl w:val="1"/>
    </w:pPr>
    <w:rPr>
      <w:lang w:eastAsia="zh-CN"/>
    </w:rPr>
  </w:style>
  <w:style w:type="paragraph" w:styleId="berschrift3">
    <w:name w:val="heading 3"/>
    <w:basedOn w:val="Standard"/>
    <w:next w:val="Standard"/>
    <w:link w:val="berschrift3Zchn"/>
    <w:semiHidden/>
    <w:rsid w:val="007268F9"/>
    <w:pPr>
      <w:spacing w:line="240" w:lineRule="auto"/>
      <w:outlineLvl w:val="2"/>
    </w:pPr>
    <w:rPr>
      <w:lang w:eastAsia="zh-CN"/>
    </w:rPr>
  </w:style>
  <w:style w:type="paragraph" w:styleId="berschrift4">
    <w:name w:val="heading 4"/>
    <w:basedOn w:val="Standard"/>
    <w:next w:val="Standard"/>
    <w:link w:val="berschrift4Zchn"/>
    <w:semiHidden/>
    <w:rsid w:val="007268F9"/>
    <w:pPr>
      <w:spacing w:line="240" w:lineRule="auto"/>
      <w:outlineLvl w:val="3"/>
    </w:pPr>
    <w:rPr>
      <w:lang w:eastAsia="zh-CN"/>
    </w:rPr>
  </w:style>
  <w:style w:type="paragraph" w:styleId="berschrift5">
    <w:name w:val="heading 5"/>
    <w:basedOn w:val="Standard"/>
    <w:next w:val="Standard"/>
    <w:link w:val="berschrift5Zchn"/>
    <w:semiHidden/>
    <w:rsid w:val="007268F9"/>
    <w:pPr>
      <w:spacing w:line="240" w:lineRule="auto"/>
      <w:outlineLvl w:val="4"/>
    </w:pPr>
    <w:rPr>
      <w:lang w:eastAsia="zh-CN"/>
    </w:rPr>
  </w:style>
  <w:style w:type="paragraph" w:styleId="berschrift6">
    <w:name w:val="heading 6"/>
    <w:basedOn w:val="Standard"/>
    <w:next w:val="Standard"/>
    <w:link w:val="berschrift6Zchn"/>
    <w:semiHidden/>
    <w:rsid w:val="007268F9"/>
    <w:pPr>
      <w:spacing w:line="240" w:lineRule="auto"/>
      <w:outlineLvl w:val="5"/>
    </w:pPr>
    <w:rPr>
      <w:lang w:eastAsia="zh-CN"/>
    </w:rPr>
  </w:style>
  <w:style w:type="paragraph" w:styleId="berschrift7">
    <w:name w:val="heading 7"/>
    <w:basedOn w:val="Standard"/>
    <w:next w:val="Standard"/>
    <w:link w:val="berschrift7Zchn"/>
    <w:semiHidden/>
    <w:rsid w:val="007268F9"/>
    <w:pPr>
      <w:spacing w:line="240" w:lineRule="auto"/>
      <w:outlineLvl w:val="6"/>
    </w:pPr>
    <w:rPr>
      <w:lang w:eastAsia="zh-CN"/>
    </w:rPr>
  </w:style>
  <w:style w:type="paragraph" w:styleId="berschrift8">
    <w:name w:val="heading 8"/>
    <w:basedOn w:val="Standard"/>
    <w:next w:val="Standard"/>
    <w:link w:val="berschrift8Zchn"/>
    <w:semiHidden/>
    <w:rsid w:val="007268F9"/>
    <w:pPr>
      <w:spacing w:line="240" w:lineRule="auto"/>
      <w:outlineLvl w:val="7"/>
    </w:pPr>
    <w:rPr>
      <w:lang w:eastAsia="zh-CN"/>
    </w:rPr>
  </w:style>
  <w:style w:type="paragraph" w:styleId="berschrift9">
    <w:name w:val="heading 9"/>
    <w:basedOn w:val="Standard"/>
    <w:next w:val="Standard"/>
    <w:link w:val="berschrift9Zchn"/>
    <w:semiHidden/>
    <w:rsid w:val="007268F9"/>
    <w:pPr>
      <w:spacing w:line="240" w:lineRule="auto"/>
      <w:outlineLvl w:val="8"/>
    </w:pPr>
    <w:rPr>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6_G"/>
    <w:basedOn w:val="Standard"/>
    <w:link w:val="KopfzeileZchn"/>
    <w:rsid w:val="007268F9"/>
    <w:pPr>
      <w:pBdr>
        <w:bottom w:val="single" w:sz="4" w:space="4" w:color="auto"/>
      </w:pBdr>
      <w:spacing w:line="240" w:lineRule="auto"/>
    </w:pPr>
    <w:rPr>
      <w:b/>
      <w:sz w:val="18"/>
      <w:lang w:eastAsia="zh-CN"/>
    </w:rPr>
  </w:style>
  <w:style w:type="character" w:customStyle="1" w:styleId="KopfzeileZchn">
    <w:name w:val="Kopfzeile Zchn"/>
    <w:aliases w:val="6_G Zchn"/>
    <w:basedOn w:val="Absatz-Standardschriftart"/>
    <w:link w:val="Kopfzeile"/>
    <w:rsid w:val="003B4550"/>
    <w:rPr>
      <w:rFonts w:ascii="Times New Roman" w:hAnsi="Times New Roman" w:cs="Times New Roman"/>
      <w:b/>
      <w:sz w:val="18"/>
      <w:szCs w:val="20"/>
    </w:rPr>
  </w:style>
  <w:style w:type="paragraph" w:styleId="Fuzeile">
    <w:name w:val="footer"/>
    <w:aliases w:val="3_G"/>
    <w:basedOn w:val="Standard"/>
    <w:link w:val="FuzeileZchn"/>
    <w:rsid w:val="007268F9"/>
    <w:pPr>
      <w:spacing w:line="240" w:lineRule="auto"/>
    </w:pPr>
    <w:rPr>
      <w:sz w:val="16"/>
      <w:lang w:eastAsia="zh-CN"/>
    </w:rPr>
  </w:style>
  <w:style w:type="character" w:customStyle="1" w:styleId="FuzeileZchn">
    <w:name w:val="Fußzeile Zchn"/>
    <w:aliases w:val="3_G Zchn"/>
    <w:basedOn w:val="Absatz-Standardschriftart"/>
    <w:link w:val="Fuzeile"/>
    <w:rsid w:val="00247E2C"/>
    <w:rPr>
      <w:rFonts w:ascii="Times New Roman" w:eastAsia="SimSun" w:hAnsi="Times New Roman" w:cs="Times New Roman"/>
      <w:sz w:val="16"/>
      <w:szCs w:val="20"/>
    </w:rPr>
  </w:style>
  <w:style w:type="paragraph" w:customStyle="1" w:styleId="HMG">
    <w:name w:val="_ H __M_G"/>
    <w:basedOn w:val="Standard"/>
    <w:next w:val="Standard"/>
    <w:rsid w:val="007268F9"/>
    <w:pPr>
      <w:keepNext/>
      <w:keepLines/>
      <w:tabs>
        <w:tab w:val="right" w:pos="851"/>
      </w:tabs>
      <w:spacing w:before="240" w:after="240" w:line="360" w:lineRule="exact"/>
      <w:ind w:left="1134" w:right="1134" w:hanging="1134"/>
      <w:outlineLvl w:val="0"/>
    </w:pPr>
    <w:rPr>
      <w:b/>
      <w:sz w:val="34"/>
      <w:lang w:eastAsia="zh-CN"/>
    </w:rPr>
  </w:style>
  <w:style w:type="paragraph" w:customStyle="1" w:styleId="HChG">
    <w:name w:val="_ H _Ch_G"/>
    <w:basedOn w:val="Standard"/>
    <w:next w:val="Standard"/>
    <w:qFormat/>
    <w:rsid w:val="007268F9"/>
    <w:pPr>
      <w:keepNext/>
      <w:keepLines/>
      <w:tabs>
        <w:tab w:val="right" w:pos="851"/>
      </w:tabs>
      <w:spacing w:before="360" w:after="240" w:line="300" w:lineRule="exact"/>
      <w:ind w:left="1134" w:right="1134" w:hanging="1134"/>
      <w:outlineLvl w:val="1"/>
    </w:pPr>
    <w:rPr>
      <w:b/>
      <w:sz w:val="28"/>
      <w:lang w:eastAsia="zh-CN"/>
    </w:rPr>
  </w:style>
  <w:style w:type="paragraph" w:customStyle="1" w:styleId="H1G">
    <w:name w:val="_ H_1_G"/>
    <w:basedOn w:val="Standard"/>
    <w:next w:val="Standard"/>
    <w:qFormat/>
    <w:rsid w:val="007268F9"/>
    <w:pPr>
      <w:keepNext/>
      <w:keepLines/>
      <w:tabs>
        <w:tab w:val="right" w:pos="851"/>
      </w:tabs>
      <w:spacing w:before="360" w:after="240" w:line="270" w:lineRule="exact"/>
      <w:ind w:left="1134" w:right="1134" w:hanging="1134"/>
      <w:outlineLvl w:val="2"/>
    </w:pPr>
    <w:rPr>
      <w:b/>
      <w:sz w:val="24"/>
      <w:lang w:eastAsia="zh-CN"/>
    </w:rPr>
  </w:style>
  <w:style w:type="paragraph" w:customStyle="1" w:styleId="H23G">
    <w:name w:val="_ H_2/3_G"/>
    <w:basedOn w:val="Standard"/>
    <w:next w:val="Standard"/>
    <w:qFormat/>
    <w:rsid w:val="007268F9"/>
    <w:pPr>
      <w:keepNext/>
      <w:keepLines/>
      <w:tabs>
        <w:tab w:val="right" w:pos="851"/>
      </w:tabs>
      <w:spacing w:before="240" w:after="120" w:line="240" w:lineRule="exact"/>
      <w:ind w:left="1134" w:right="1134" w:hanging="1134"/>
      <w:outlineLvl w:val="3"/>
    </w:pPr>
    <w:rPr>
      <w:b/>
      <w:lang w:eastAsia="zh-CN"/>
    </w:rPr>
  </w:style>
  <w:style w:type="paragraph" w:customStyle="1" w:styleId="H4G">
    <w:name w:val="_ H_4_G"/>
    <w:basedOn w:val="Standard"/>
    <w:next w:val="Standard"/>
    <w:qFormat/>
    <w:rsid w:val="007268F9"/>
    <w:pPr>
      <w:keepNext/>
      <w:keepLines/>
      <w:tabs>
        <w:tab w:val="right" w:pos="851"/>
      </w:tabs>
      <w:spacing w:before="240" w:after="120" w:line="240" w:lineRule="exact"/>
      <w:ind w:left="1134" w:right="1134" w:hanging="1134"/>
      <w:outlineLvl w:val="4"/>
    </w:pPr>
    <w:rPr>
      <w:i/>
      <w:lang w:eastAsia="zh-CN"/>
    </w:rPr>
  </w:style>
  <w:style w:type="paragraph" w:customStyle="1" w:styleId="H56G">
    <w:name w:val="_ H_5/6_G"/>
    <w:basedOn w:val="Standard"/>
    <w:next w:val="Standard"/>
    <w:qFormat/>
    <w:rsid w:val="007268F9"/>
    <w:pPr>
      <w:keepNext/>
      <w:keepLines/>
      <w:tabs>
        <w:tab w:val="right" w:pos="851"/>
      </w:tabs>
      <w:spacing w:before="240" w:after="120" w:line="240" w:lineRule="exact"/>
      <w:ind w:left="1134" w:right="1134" w:hanging="1134"/>
      <w:outlineLvl w:val="5"/>
    </w:pPr>
    <w:rPr>
      <w:lang w:eastAsia="zh-CN"/>
    </w:rPr>
  </w:style>
  <w:style w:type="paragraph" w:customStyle="1" w:styleId="SingleTxtG">
    <w:name w:val="_ Single Txt_G"/>
    <w:basedOn w:val="Standard"/>
    <w:link w:val="SingleTxtGChar"/>
    <w:qFormat/>
    <w:rsid w:val="000C291C"/>
    <w:pPr>
      <w:tabs>
        <w:tab w:val="left" w:pos="1701"/>
        <w:tab w:val="left" w:pos="2268"/>
      </w:tabs>
      <w:spacing w:after="120"/>
      <w:ind w:left="1134" w:right="1134"/>
      <w:jc w:val="both"/>
    </w:pPr>
    <w:rPr>
      <w:lang w:eastAsia="zh-CN"/>
    </w:rPr>
  </w:style>
  <w:style w:type="paragraph" w:customStyle="1" w:styleId="SLG">
    <w:name w:val="__S_L_G"/>
    <w:basedOn w:val="Standard"/>
    <w:next w:val="Standard"/>
    <w:rsid w:val="007268F9"/>
    <w:pPr>
      <w:keepNext/>
      <w:keepLines/>
      <w:spacing w:before="240" w:after="240" w:line="580" w:lineRule="exact"/>
      <w:ind w:left="1134" w:right="1134"/>
    </w:pPr>
    <w:rPr>
      <w:b/>
      <w:sz w:val="56"/>
      <w:lang w:eastAsia="zh-CN"/>
    </w:rPr>
  </w:style>
  <w:style w:type="paragraph" w:customStyle="1" w:styleId="SMG">
    <w:name w:val="__S_M_G"/>
    <w:basedOn w:val="Standard"/>
    <w:next w:val="Standard"/>
    <w:rsid w:val="007268F9"/>
    <w:pPr>
      <w:keepNext/>
      <w:keepLines/>
      <w:spacing w:before="240" w:after="240" w:line="420" w:lineRule="exact"/>
      <w:ind w:left="1134" w:right="1134"/>
    </w:pPr>
    <w:rPr>
      <w:b/>
      <w:sz w:val="40"/>
      <w:lang w:eastAsia="zh-CN"/>
    </w:rPr>
  </w:style>
  <w:style w:type="paragraph" w:customStyle="1" w:styleId="SSG">
    <w:name w:val="__S_S_G"/>
    <w:basedOn w:val="Standard"/>
    <w:next w:val="Standard"/>
    <w:rsid w:val="007268F9"/>
    <w:pPr>
      <w:keepNext/>
      <w:keepLines/>
      <w:spacing w:before="240" w:after="240" w:line="300" w:lineRule="exact"/>
      <w:ind w:left="1134" w:right="1134"/>
    </w:pPr>
    <w:rPr>
      <w:b/>
      <w:sz w:val="28"/>
      <w:lang w:eastAsia="zh-CN"/>
    </w:rPr>
  </w:style>
  <w:style w:type="paragraph" w:customStyle="1" w:styleId="XLargeG">
    <w:name w:val="__XLarge_G"/>
    <w:basedOn w:val="Standard"/>
    <w:next w:val="Standard"/>
    <w:rsid w:val="007268F9"/>
    <w:pPr>
      <w:keepNext/>
      <w:keepLines/>
      <w:spacing w:before="240" w:after="240" w:line="420" w:lineRule="exact"/>
      <w:ind w:left="1134" w:right="1134"/>
    </w:pPr>
    <w:rPr>
      <w:b/>
      <w:sz w:val="40"/>
      <w:lang w:eastAsia="zh-CN"/>
    </w:rPr>
  </w:style>
  <w:style w:type="paragraph" w:customStyle="1" w:styleId="Bullet1G">
    <w:name w:val="_Bullet 1_G"/>
    <w:basedOn w:val="Standard"/>
    <w:qFormat/>
    <w:rsid w:val="007268F9"/>
    <w:pPr>
      <w:numPr>
        <w:numId w:val="1"/>
      </w:numPr>
      <w:spacing w:after="120"/>
      <w:ind w:right="1134"/>
      <w:jc w:val="both"/>
    </w:pPr>
    <w:rPr>
      <w:lang w:eastAsia="zh-CN"/>
    </w:rPr>
  </w:style>
  <w:style w:type="paragraph" w:customStyle="1" w:styleId="Bullet2G">
    <w:name w:val="_Bullet 2_G"/>
    <w:basedOn w:val="Standard"/>
    <w:qFormat/>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KeineListe"/>
    <w:semiHidden/>
    <w:rsid w:val="007268F9"/>
    <w:pPr>
      <w:numPr>
        <w:numId w:val="5"/>
      </w:numPr>
    </w:pPr>
  </w:style>
  <w:style w:type="numbering" w:styleId="1ai">
    <w:name w:val="Outline List 1"/>
    <w:basedOn w:val="KeineListe"/>
    <w:semiHidden/>
    <w:rsid w:val="007268F9"/>
    <w:pPr>
      <w:numPr>
        <w:numId w:val="6"/>
      </w:numPr>
    </w:pPr>
  </w:style>
  <w:style w:type="character" w:styleId="Endnotenzeichen">
    <w:name w:val="endnote reference"/>
    <w:aliases w:val="1_G"/>
    <w:rsid w:val="007268F9"/>
    <w:rPr>
      <w:rFonts w:ascii="Times New Roman" w:hAnsi="Times New Roman"/>
      <w:sz w:val="18"/>
      <w:vertAlign w:val="superscript"/>
    </w:rPr>
  </w:style>
  <w:style w:type="paragraph" w:styleId="Funotentext">
    <w:name w:val="footnote text"/>
    <w:aliases w:val="5_G"/>
    <w:basedOn w:val="Standard"/>
    <w:link w:val="FunotentextZchn"/>
    <w:rsid w:val="007268F9"/>
    <w:pPr>
      <w:tabs>
        <w:tab w:val="right" w:pos="1021"/>
      </w:tabs>
      <w:spacing w:line="220" w:lineRule="exact"/>
      <w:ind w:left="1134" w:right="1134" w:hanging="1134"/>
    </w:pPr>
    <w:rPr>
      <w:sz w:val="18"/>
      <w:lang w:eastAsia="zh-CN"/>
    </w:rPr>
  </w:style>
  <w:style w:type="character" w:customStyle="1" w:styleId="FunotentextZchn">
    <w:name w:val="Fußnotentext Zchn"/>
    <w:aliases w:val="5_G Zchn"/>
    <w:basedOn w:val="Absatz-Standardschriftart"/>
    <w:link w:val="Funotentext"/>
    <w:rsid w:val="007268F9"/>
    <w:rPr>
      <w:rFonts w:ascii="Times New Roman" w:eastAsia="SimSun" w:hAnsi="Times New Roman" w:cs="Times New Roman"/>
      <w:sz w:val="18"/>
      <w:szCs w:val="20"/>
    </w:rPr>
  </w:style>
  <w:style w:type="paragraph" w:styleId="Endnotentext">
    <w:name w:val="endnote text"/>
    <w:aliases w:val="2_G"/>
    <w:basedOn w:val="Funotentext"/>
    <w:link w:val="EndnotentextZchn"/>
    <w:rsid w:val="007268F9"/>
  </w:style>
  <w:style w:type="character" w:customStyle="1" w:styleId="EndnotentextZchn">
    <w:name w:val="Endnotentext Zchn"/>
    <w:aliases w:val="2_G Zchn"/>
    <w:basedOn w:val="Absatz-Standardschriftart"/>
    <w:link w:val="Endnotentext"/>
    <w:rsid w:val="007268F9"/>
    <w:rPr>
      <w:rFonts w:ascii="Times New Roman" w:eastAsia="SimSun" w:hAnsi="Times New Roman" w:cs="Times New Roman"/>
      <w:sz w:val="18"/>
      <w:szCs w:val="20"/>
    </w:rPr>
  </w:style>
  <w:style w:type="character" w:styleId="Funotenzeichen">
    <w:name w:val="footnote reference"/>
    <w:aliases w:val="4_G"/>
    <w:rsid w:val="007268F9"/>
    <w:rPr>
      <w:rFonts w:ascii="Times New Roman" w:hAnsi="Times New Roman"/>
      <w:sz w:val="18"/>
      <w:vertAlign w:val="superscript"/>
    </w:rPr>
  </w:style>
  <w:style w:type="character" w:customStyle="1" w:styleId="berschrift1Zchn">
    <w:name w:val="Überschrift 1 Zchn"/>
    <w:aliases w:val="Table_G Zchn"/>
    <w:basedOn w:val="Absatz-Standardschriftart"/>
    <w:link w:val="berschrift1"/>
    <w:rsid w:val="003B4550"/>
    <w:rPr>
      <w:rFonts w:ascii="Times New Roman" w:hAnsi="Times New Roman" w:cs="Times New Roman"/>
      <w:sz w:val="20"/>
      <w:szCs w:val="20"/>
    </w:rPr>
  </w:style>
  <w:style w:type="character" w:customStyle="1" w:styleId="berschrift2Zchn">
    <w:name w:val="Überschrift 2 Zchn"/>
    <w:basedOn w:val="Absatz-Standardschriftart"/>
    <w:link w:val="berschrift2"/>
    <w:semiHidden/>
    <w:rsid w:val="003B4550"/>
    <w:rPr>
      <w:rFonts w:ascii="Times New Roman" w:hAnsi="Times New Roman" w:cs="Times New Roman"/>
      <w:sz w:val="20"/>
      <w:szCs w:val="20"/>
    </w:rPr>
  </w:style>
  <w:style w:type="character" w:customStyle="1" w:styleId="berschrift3Zchn">
    <w:name w:val="Überschrift 3 Zchn"/>
    <w:basedOn w:val="Absatz-Standardschriftart"/>
    <w:link w:val="berschrift3"/>
    <w:semiHidden/>
    <w:rsid w:val="003B4550"/>
    <w:rPr>
      <w:rFonts w:ascii="Times New Roman" w:hAnsi="Times New Roman" w:cs="Times New Roman"/>
      <w:sz w:val="20"/>
      <w:szCs w:val="20"/>
    </w:rPr>
  </w:style>
  <w:style w:type="character" w:customStyle="1" w:styleId="berschrift4Zchn">
    <w:name w:val="Überschrift 4 Zchn"/>
    <w:basedOn w:val="Absatz-Standardschriftart"/>
    <w:link w:val="berschrift4"/>
    <w:semiHidden/>
    <w:rsid w:val="003B4550"/>
    <w:rPr>
      <w:rFonts w:ascii="Times New Roman" w:hAnsi="Times New Roman" w:cs="Times New Roman"/>
      <w:sz w:val="20"/>
      <w:szCs w:val="20"/>
    </w:rPr>
  </w:style>
  <w:style w:type="character" w:customStyle="1" w:styleId="berschrift5Zchn">
    <w:name w:val="Überschrift 5 Zchn"/>
    <w:basedOn w:val="Absatz-Standardschriftart"/>
    <w:link w:val="berschrift5"/>
    <w:semiHidden/>
    <w:rsid w:val="003B4550"/>
    <w:rPr>
      <w:rFonts w:ascii="Times New Roman" w:hAnsi="Times New Roman" w:cs="Times New Roman"/>
      <w:sz w:val="20"/>
      <w:szCs w:val="20"/>
    </w:rPr>
  </w:style>
  <w:style w:type="character" w:customStyle="1" w:styleId="berschrift6Zchn">
    <w:name w:val="Überschrift 6 Zchn"/>
    <w:basedOn w:val="Absatz-Standardschriftart"/>
    <w:link w:val="berschrift6"/>
    <w:semiHidden/>
    <w:rsid w:val="003B4550"/>
    <w:rPr>
      <w:rFonts w:ascii="Times New Roman" w:hAnsi="Times New Roman" w:cs="Times New Roman"/>
      <w:sz w:val="20"/>
      <w:szCs w:val="20"/>
    </w:rPr>
  </w:style>
  <w:style w:type="character" w:customStyle="1" w:styleId="berschrift7Zchn">
    <w:name w:val="Überschrift 7 Zchn"/>
    <w:basedOn w:val="Absatz-Standardschriftart"/>
    <w:link w:val="berschrift7"/>
    <w:semiHidden/>
    <w:rsid w:val="003B4550"/>
    <w:rPr>
      <w:rFonts w:ascii="Times New Roman" w:hAnsi="Times New Roman" w:cs="Times New Roman"/>
      <w:sz w:val="20"/>
      <w:szCs w:val="20"/>
    </w:rPr>
  </w:style>
  <w:style w:type="character" w:customStyle="1" w:styleId="berschrift8Zchn">
    <w:name w:val="Überschrift 8 Zchn"/>
    <w:basedOn w:val="Absatz-Standardschriftart"/>
    <w:link w:val="berschrift8"/>
    <w:semiHidden/>
    <w:rsid w:val="003B4550"/>
    <w:rPr>
      <w:rFonts w:ascii="Times New Roman" w:hAnsi="Times New Roman" w:cs="Times New Roman"/>
      <w:sz w:val="20"/>
      <w:szCs w:val="20"/>
    </w:rPr>
  </w:style>
  <w:style w:type="character" w:customStyle="1" w:styleId="berschrift9Zchn">
    <w:name w:val="Überschrift 9 Zchn"/>
    <w:basedOn w:val="Absatz-Standardschriftart"/>
    <w:link w:val="berschrift9"/>
    <w:semiHidden/>
    <w:rsid w:val="003B4550"/>
    <w:rPr>
      <w:rFonts w:ascii="Times New Roman" w:hAnsi="Times New Roman" w:cs="Times New Roman"/>
      <w:sz w:val="20"/>
      <w:szCs w:val="20"/>
    </w:rPr>
  </w:style>
  <w:style w:type="character" w:styleId="Seitenzahl">
    <w:name w:val="page number"/>
    <w:aliases w:val="7_G"/>
    <w:semiHidden/>
    <w:rsid w:val="007268F9"/>
    <w:rPr>
      <w:rFonts w:ascii="Times New Roman" w:hAnsi="Times New Roman"/>
      <w:b/>
      <w:sz w:val="18"/>
    </w:rPr>
  </w:style>
  <w:style w:type="character" w:styleId="Buchtitel">
    <w:name w:val="Book Title"/>
    <w:basedOn w:val="Absatz-Standardschriftart"/>
    <w:uiPriority w:val="33"/>
    <w:rsid w:val="007268F9"/>
    <w:rPr>
      <w:b/>
      <w:bCs/>
      <w:smallCaps/>
      <w:spacing w:val="5"/>
    </w:rPr>
  </w:style>
  <w:style w:type="table" w:styleId="Tabellenraster">
    <w:name w:val="Table Grid"/>
    <w:basedOn w:val="NormaleTabelle"/>
    <w:rsid w:val="00C9007B"/>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9007B"/>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007B"/>
    <w:rPr>
      <w:rFonts w:ascii="Tahoma" w:hAnsi="Tahoma" w:cs="Tahoma"/>
      <w:sz w:val="16"/>
      <w:szCs w:val="16"/>
      <w:lang w:eastAsia="en-US"/>
    </w:rPr>
  </w:style>
  <w:style w:type="character" w:customStyle="1" w:styleId="SingleTxtGChar">
    <w:name w:val="_ Single Txt_G Char"/>
    <w:basedOn w:val="Absatz-Standardschriftart"/>
    <w:link w:val="SingleTxtG"/>
    <w:rsid w:val="000C291C"/>
    <w:rPr>
      <w:rFonts w:ascii="Times New Roman" w:hAnsi="Times New Roman" w:cs="Times New Roman"/>
      <w:sz w:val="20"/>
      <w:szCs w:val="20"/>
    </w:rPr>
  </w:style>
  <w:style w:type="character" w:styleId="Hyperlink">
    <w:name w:val="Hyperlink"/>
    <w:basedOn w:val="Absatz-Standardschriftart"/>
    <w:uiPriority w:val="99"/>
    <w:unhideWhenUsed/>
    <w:rsid w:val="00296E8D"/>
    <w:rPr>
      <w:color w:val="0000FF"/>
      <w:u w:val="single"/>
    </w:rPr>
  </w:style>
  <w:style w:type="character" w:customStyle="1" w:styleId="UnresolvedMention1">
    <w:name w:val="Unresolved Mention1"/>
    <w:basedOn w:val="Absatz-Standardschriftart"/>
    <w:uiPriority w:val="99"/>
    <w:semiHidden/>
    <w:unhideWhenUsed/>
    <w:rsid w:val="00296E8D"/>
    <w:rPr>
      <w:color w:val="605E5C"/>
      <w:shd w:val="clear" w:color="auto" w:fill="E1DFDD"/>
    </w:rPr>
  </w:style>
  <w:style w:type="paragraph" w:styleId="berarbeitung">
    <w:name w:val="Revision"/>
    <w:hidden/>
    <w:uiPriority w:val="99"/>
    <w:semiHidden/>
    <w:rsid w:val="00296E8D"/>
    <w:pPr>
      <w:spacing w:after="0" w:line="240" w:lineRule="auto"/>
    </w:pPr>
    <w:rPr>
      <w:rFonts w:ascii="Times New Roman" w:hAnsi="Times New Roman" w:cs="Times New Roman"/>
      <w:sz w:val="20"/>
      <w:szCs w:val="20"/>
      <w:lang w:eastAsia="en-US"/>
    </w:rPr>
  </w:style>
  <w:style w:type="character" w:styleId="Kommentarzeichen">
    <w:name w:val="annotation reference"/>
    <w:basedOn w:val="Absatz-Standardschriftart"/>
    <w:uiPriority w:val="99"/>
    <w:semiHidden/>
    <w:unhideWhenUsed/>
    <w:rsid w:val="00296E8D"/>
    <w:rPr>
      <w:sz w:val="16"/>
      <w:szCs w:val="16"/>
    </w:rPr>
  </w:style>
  <w:style w:type="paragraph" w:styleId="Kommentartext">
    <w:name w:val="annotation text"/>
    <w:basedOn w:val="Standard"/>
    <w:link w:val="KommentartextZchn"/>
    <w:uiPriority w:val="99"/>
    <w:unhideWhenUsed/>
    <w:rsid w:val="00296E8D"/>
    <w:pPr>
      <w:suppressAutoHyphens w:val="0"/>
      <w:spacing w:line="240" w:lineRule="auto"/>
    </w:pPr>
    <w:rPr>
      <w:lang w:eastAsia="zh-CN"/>
    </w:rPr>
  </w:style>
  <w:style w:type="character" w:customStyle="1" w:styleId="KommentartextZchn">
    <w:name w:val="Kommentartext Zchn"/>
    <w:basedOn w:val="Absatz-Standardschriftart"/>
    <w:link w:val="Kommentartext"/>
    <w:uiPriority w:val="99"/>
    <w:rsid w:val="00296E8D"/>
    <w:rPr>
      <w:rFonts w:ascii="Times New Roman" w:hAnsi="Times New Roman" w:cs="Times New Roman"/>
      <w:sz w:val="20"/>
      <w:szCs w:val="20"/>
    </w:rPr>
  </w:style>
  <w:style w:type="paragraph" w:styleId="Kommentarthema">
    <w:name w:val="annotation subject"/>
    <w:basedOn w:val="Standard"/>
    <w:next w:val="Standard"/>
    <w:link w:val="KommentarthemaZchn"/>
    <w:uiPriority w:val="99"/>
    <w:semiHidden/>
    <w:unhideWhenUsed/>
    <w:rsid w:val="00296E8D"/>
    <w:pPr>
      <w:suppressAutoHyphens w:val="0"/>
      <w:spacing w:line="240" w:lineRule="auto"/>
    </w:pPr>
    <w:rPr>
      <w:b/>
      <w:bCs/>
      <w:lang w:eastAsia="zh-CN"/>
    </w:rPr>
  </w:style>
  <w:style w:type="character" w:customStyle="1" w:styleId="KommentarthemaZchn">
    <w:name w:val="Kommentarthema Zchn"/>
    <w:basedOn w:val="KommentartextZchn"/>
    <w:link w:val="Kommentarthema"/>
    <w:uiPriority w:val="99"/>
    <w:semiHidden/>
    <w:rsid w:val="00296E8D"/>
    <w:rPr>
      <w:rFonts w:ascii="Times New Roman" w:hAnsi="Times New Roman" w:cs="Times New Roman"/>
      <w:b/>
      <w:bCs/>
      <w:sz w:val="20"/>
      <w:szCs w:val="20"/>
    </w:rPr>
  </w:style>
  <w:style w:type="character" w:styleId="BesuchterLink">
    <w:name w:val="FollowedHyperlink"/>
    <w:basedOn w:val="Absatz-Standardschriftart"/>
    <w:uiPriority w:val="99"/>
    <w:semiHidden/>
    <w:unhideWhenUsed/>
    <w:rsid w:val="00CB0964"/>
    <w:rPr>
      <w:color w:val="0000FF"/>
      <w:u w:val="single"/>
    </w:rPr>
  </w:style>
  <w:style w:type="character" w:styleId="NichtaufgelsteErwhnung">
    <w:name w:val="Unresolved Mention"/>
    <w:basedOn w:val="Absatz-Standardschriftart"/>
    <w:uiPriority w:val="99"/>
    <w:semiHidden/>
    <w:unhideWhenUsed/>
    <w:rsid w:val="00CB0964"/>
    <w:rPr>
      <w:color w:val="605E5C"/>
      <w:shd w:val="clear" w:color="auto" w:fill="E1DFDD"/>
    </w:rPr>
  </w:style>
  <w:style w:type="character" w:styleId="Platzhaltertext">
    <w:name w:val="Placeholder Text"/>
    <w:basedOn w:val="Absatz-Standardschriftart"/>
    <w:uiPriority w:val="99"/>
    <w:semiHidden/>
    <w:rsid w:val="00EC31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undocs.org/en/A/HRC/52/32" TargetMode="External"/><Relationship Id="rId3" Type="http://schemas.openxmlformats.org/officeDocument/2006/relationships/hyperlink" Target="http://undocs.org/en/CRPD/C/SR.675" TargetMode="External"/><Relationship Id="rId7" Type="http://schemas.openxmlformats.org/officeDocument/2006/relationships/hyperlink" Target="http://undocs.org/en/CRPD/C/5" TargetMode="External"/><Relationship Id="rId2" Type="http://schemas.openxmlformats.org/officeDocument/2006/relationships/hyperlink" Target="http://undocs.org/en/CRPD/C/SR.674" TargetMode="External"/><Relationship Id="rId1" Type="http://schemas.openxmlformats.org/officeDocument/2006/relationships/hyperlink" Target="http://undocs.org/en/CRPD/C/DEU/2-3" TargetMode="External"/><Relationship Id="rId6" Type="http://schemas.openxmlformats.org/officeDocument/2006/relationships/hyperlink" Target="http://undocs.org/en/A/72/55" TargetMode="External"/><Relationship Id="rId5" Type="http://schemas.openxmlformats.org/officeDocument/2006/relationships/hyperlink" Target="http://undocs.org/en/CRPD/C/DEU/CO/1" TargetMode="External"/><Relationship Id="rId4" Type="http://schemas.openxmlformats.org/officeDocument/2006/relationships/hyperlink" Target="http://undocs.org/en/CRPD/C/DEU/QPR/2-3" TargetMode="External"/><Relationship Id="rId9" Type="http://schemas.openxmlformats.org/officeDocument/2006/relationships/hyperlink" Target="http://undocs.org/en/E/C.12/DEU/CO/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CRP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D6A73-ECE8-4DE2-9C68-3AE1EFDE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CRPD</Template>
  <TotalTime>0</TotalTime>
  <Pages>19</Pages>
  <Words>8207</Words>
  <Characters>51706</Characters>
  <Application>Microsoft Office Word</Application>
  <DocSecurity>0</DocSecurity>
  <Lines>430</Lines>
  <Paragraphs>119</Paragraphs>
  <ScaleCrop>false</ScaleCrop>
  <HeadingPairs>
    <vt:vector size="2" baseType="variant">
      <vt:variant>
        <vt:lpstr>Title</vt:lpstr>
      </vt:variant>
      <vt:variant>
        <vt:i4>1</vt:i4>
      </vt:variant>
    </vt:vector>
  </HeadingPairs>
  <TitlesOfParts>
    <vt:vector size="1" baseType="lpstr">
      <vt:lpstr>CRPD/C/DEU/CO/2-3</vt:lpstr>
    </vt:vector>
  </TitlesOfParts>
  <Company>DCM</Company>
  <LinksUpToDate>false</LinksUpToDate>
  <CharactersWithSpaces>59794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CRPD/C/DEU/CO/2-3</dc:title>
  <dc:subject>2318099</dc:subject>
  <dc:creator>CPM</dc:creator>
  <cp:keywords/>
  <dc:description/>
  <cp:lastModifiedBy>Nikolaus Mantel</cp:lastModifiedBy>
  <cp:revision>1</cp:revision>
  <dcterms:created xsi:type="dcterms:W3CDTF">2023-11-01T07:51:00Z</dcterms:created>
  <dcterms:modified xsi:type="dcterms:W3CDTF">2023-11-01T07:57:00Z</dcterms:modified>
</cp:coreProperties>
</file>